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10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1. </w:t>
      </w:r>
      <w:r>
        <w:rPr/>
        <w:t xml:space="preserve">Файл </w:t>
      </w:r>
      <w:r>
        <w:rPr>
          <w:rStyle w:val="Style13"/>
        </w:rPr>
        <w:t>data.bin</w:t>
      </w:r>
      <w:r>
        <w:rPr/>
        <w:t xml:space="preserve"> содержит набор 32-битных целых чисел со знаком. Размер файла не превышает 1MiB.</w:t>
      </w:r>
    </w:p>
    <w:p>
      <w:pPr>
        <w:pStyle w:val="Normal"/>
        <w:jc w:val="both"/>
        <w:rPr/>
      </w:pPr>
      <w:r>
        <w:rPr/>
        <w:t xml:space="preserve">Вывести одно целое число – сумму чисел из файла </w:t>
      </w:r>
      <w:r>
        <w:rPr>
          <w:rStyle w:val="Style13"/>
        </w:rPr>
        <w:t>data.bin</w:t>
      </w:r>
      <w:r>
        <w:rPr/>
        <w:t xml:space="preserve">. 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2. </w:t>
      </w:r>
      <w:r>
        <w:rPr/>
        <w:t xml:space="preserve">Файл </w:t>
      </w:r>
      <w:r>
        <w:rPr>
          <w:rStyle w:val="Style13"/>
        </w:rPr>
        <w:t>data.bin</w:t>
      </w:r>
      <w:r>
        <w:rPr/>
        <w:t xml:space="preserve"> содержит набор данных, состоящих из строки (40 символов, включая символ окончания строки) и 32-битного целого числа.</w:t>
      </w:r>
    </w:p>
    <w:p>
      <w:pPr>
        <w:pStyle w:val="Normal"/>
        <w:jc w:val="both"/>
        <w:rPr/>
      </w:pPr>
      <w:r>
        <w:rPr/>
        <w:t xml:space="preserve">Первая строка ввода содержит одно целое число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End w:id="6"/>
      <w:bookmarkEnd w:id="7"/>
      <w:bookmarkEnd w:id="8"/>
      <w:bookmarkEnd w:id="9"/>
      <w:bookmarkEnd w:id="10"/>
      <w:bookmarkEnd w:id="11"/>
      <w:r>
        <w:rPr>
          <w:rFonts w:ascii="MathJax Main" w:hAnsi="MathJax Main"/>
        </w:rPr>
        <w:t>1</w:t>
      </w:r>
      <w:bookmarkStart w:id="12" w:name="MathJax-Span-11"/>
      <w:bookmarkEnd w:id="12"/>
      <w:r>
        <w:rPr/>
        <w:t> </w:t>
      </w:r>
      <w:bookmarkStart w:id="13" w:name="MathJax-Span-12"/>
      <w:bookmarkEnd w:id="13"/>
      <w:r>
        <w:rPr/>
        <w:t>≤</w:t>
      </w:r>
      <w:bookmarkStart w:id="14" w:name="MathJax-Span-13"/>
      <w:bookmarkEnd w:id="14"/>
      <w:r>
        <w:rPr/>
        <w:t> </w:t>
      </w:r>
      <w:bookmarkStart w:id="15" w:name="MathJax-Span-14"/>
      <w:bookmarkEnd w:id="15"/>
      <w:r>
        <w:rPr>
          <w:rFonts w:ascii="MathJax Math" w:hAnsi="MathJax Math"/>
          <w:i/>
        </w:rPr>
        <w:t>N</w:t>
      </w:r>
      <w:bookmarkStart w:id="16" w:name="MathJax-Span-15"/>
      <w:bookmarkEnd w:id="16"/>
      <w:r>
        <w:rPr/>
        <w:t> </w:t>
      </w:r>
      <w:bookmarkStart w:id="17" w:name="MathJax-Span-16"/>
      <w:bookmarkEnd w:id="17"/>
      <w:r>
        <w:rPr/>
        <w:t>≤</w:t>
      </w:r>
      <w:bookmarkStart w:id="18" w:name="MathJax-Span-17"/>
      <w:bookmarkEnd w:id="18"/>
      <w:r>
        <w:rPr/>
        <w:t> </w:t>
      </w:r>
      <w:bookmarkStart w:id="19" w:name="MathJax-Span-18"/>
      <w:bookmarkEnd w:id="19"/>
      <w:r>
        <w:rPr>
          <w:rFonts w:ascii="MathJax Main" w:hAnsi="MathJax Main"/>
        </w:rPr>
        <w:t>250000</w:t>
      </w:r>
      <w:r>
        <w:rPr/>
        <w:t xml:space="preserve">) – количество запросов. Далее следует </w:t>
      </w:r>
      <w:bookmarkStart w:id="20" w:name="MathJax-Element-3-Frame"/>
      <w:bookmarkStart w:id="21" w:name="MathJax-Span-19"/>
      <w:bookmarkStart w:id="22" w:name="MathJax-Span-20"/>
      <w:bookmarkStart w:id="23" w:name="MathJax-Span-21"/>
      <w:bookmarkStart w:id="24" w:name="MathJax-Span-22"/>
      <w:bookmarkStart w:id="25" w:name="MathJax-Span-23"/>
      <w:bookmarkEnd w:id="20"/>
      <w:bookmarkEnd w:id="21"/>
      <w:bookmarkEnd w:id="22"/>
      <w:bookmarkEnd w:id="23"/>
      <w:bookmarkEnd w:id="24"/>
      <w:bookmarkEnd w:id="25"/>
      <w:r>
        <w:rPr>
          <w:rFonts w:ascii="MathJax Math" w:hAnsi="MathJax Math"/>
          <w:i/>
        </w:rPr>
        <w:t xml:space="preserve">N </w:t>
      </w:r>
      <w:r>
        <w:rPr/>
        <w:t>строк, каждая строка содержит один из запросов.</w:t>
      </w:r>
    </w:p>
    <w:p>
      <w:pPr>
        <w:pStyle w:val="Normal"/>
        <w:jc w:val="both"/>
        <w:rPr/>
      </w:pPr>
      <w:r>
        <w:rPr>
          <w:rStyle w:val="Style13"/>
        </w:rPr>
        <w:t xml:space="preserve">? </w:t>
      </w:r>
      <w:bookmarkStart w:id="26" w:name="MathJax-Element-4-Frame"/>
      <w:bookmarkStart w:id="27" w:name="MathJax-Span-24"/>
      <w:bookmarkStart w:id="28" w:name="MathJax-Span-25"/>
      <w:bookmarkStart w:id="29" w:name="MathJax-Span-26"/>
      <w:bookmarkStart w:id="30" w:name="MathJax-Span-27"/>
      <w:bookmarkStart w:id="31" w:name="MathJax-Span-28"/>
      <w:bookmarkEnd w:id="26"/>
      <w:bookmarkEnd w:id="27"/>
      <w:bookmarkEnd w:id="28"/>
      <w:bookmarkEnd w:id="29"/>
      <w:bookmarkEnd w:id="30"/>
      <w:bookmarkEnd w:id="31"/>
      <w:r>
        <w:rPr>
          <w:rFonts w:ascii="MathJax Math" w:hAnsi="MathJax Math"/>
          <w:i/>
        </w:rPr>
        <w:t xml:space="preserve">x </w:t>
      </w:r>
      <w:r>
        <w:rPr/>
        <w:t xml:space="preserve"> – вывести строку и число из записи </w:t>
      </w:r>
      <w:bookmarkStart w:id="32" w:name="MathJax-Element-5-Frame"/>
      <w:bookmarkStart w:id="33" w:name="MathJax-Span-29"/>
      <w:bookmarkStart w:id="34" w:name="MathJax-Span-30"/>
      <w:bookmarkStart w:id="35" w:name="MathJax-Span-31"/>
      <w:bookmarkStart w:id="36" w:name="MathJax-Span-32"/>
      <w:bookmarkStart w:id="37" w:name="MathJax-Span-33"/>
      <w:bookmarkEnd w:id="32"/>
      <w:bookmarkEnd w:id="33"/>
      <w:bookmarkEnd w:id="34"/>
      <w:bookmarkEnd w:id="35"/>
      <w:bookmarkEnd w:id="36"/>
      <w:bookmarkEnd w:id="37"/>
      <w:r>
        <w:rPr>
          <w:rFonts w:ascii="MathJax Math" w:hAnsi="MathJax Math"/>
          <w:i/>
        </w:rPr>
        <w:t>x</w:t>
      </w:r>
      <w:r>
        <w:rPr/>
        <w:t>;</w:t>
      </w:r>
    </w:p>
    <w:p>
      <w:pPr>
        <w:pStyle w:val="Normal"/>
        <w:jc w:val="both"/>
        <w:rPr/>
      </w:pPr>
      <w:r>
        <w:rPr>
          <w:rStyle w:val="Style13"/>
        </w:rPr>
        <w:t xml:space="preserve">+ </w:t>
      </w:r>
      <w:bookmarkStart w:id="38" w:name="MathJax-Element-6-Frame"/>
      <w:bookmarkStart w:id="39" w:name="MathJax-Span-34"/>
      <w:bookmarkStart w:id="40" w:name="MathJax-Span-35"/>
      <w:bookmarkStart w:id="41" w:name="MathJax-Span-36"/>
      <w:bookmarkStart w:id="42" w:name="MathJax-Span-37"/>
      <w:bookmarkStart w:id="43" w:name="MathJax-Span-38"/>
      <w:bookmarkEnd w:id="38"/>
      <w:bookmarkEnd w:id="39"/>
      <w:bookmarkEnd w:id="40"/>
      <w:bookmarkEnd w:id="41"/>
      <w:bookmarkEnd w:id="42"/>
      <w:bookmarkEnd w:id="43"/>
      <w:r>
        <w:rPr>
          <w:rFonts w:ascii="MathJax Math" w:hAnsi="MathJax Math"/>
          <w:i/>
        </w:rPr>
        <w:t xml:space="preserve">s </w:t>
      </w:r>
      <w:bookmarkStart w:id="44" w:name="MathJax-Element-7-Frame"/>
      <w:bookmarkStart w:id="45" w:name="MathJax-Span-39"/>
      <w:bookmarkStart w:id="46" w:name="MathJax-Span-40"/>
      <w:bookmarkStart w:id="47" w:name="MathJax-Span-41"/>
      <w:bookmarkStart w:id="48" w:name="MathJax-Span-42"/>
      <w:bookmarkStart w:id="49" w:name="MathJax-Span-43"/>
      <w:bookmarkEnd w:id="44"/>
      <w:bookmarkEnd w:id="45"/>
      <w:bookmarkEnd w:id="46"/>
      <w:bookmarkEnd w:id="47"/>
      <w:bookmarkEnd w:id="48"/>
      <w:bookmarkEnd w:id="49"/>
      <w:r>
        <w:rPr>
          <w:rFonts w:ascii="MathJax Math" w:hAnsi="MathJax Math"/>
          <w:i/>
        </w:rPr>
        <w:t>a</w:t>
      </w:r>
      <w:r>
        <w:rPr/>
        <w:t xml:space="preserve"> – добавить новую запись под номером </w:t>
      </w:r>
      <w:bookmarkStart w:id="50" w:name="MathJax-Element-8-Frame"/>
      <w:bookmarkStart w:id="51" w:name="MathJax-Span-44"/>
      <w:bookmarkStart w:id="52" w:name="MathJax-Span-45"/>
      <w:bookmarkStart w:id="53" w:name="MathJax-Span-46"/>
      <w:bookmarkStart w:id="54" w:name="MathJax-Span-47"/>
      <w:bookmarkStart w:id="55" w:name="MathJax-Span-48"/>
      <w:bookmarkEnd w:id="50"/>
      <w:bookmarkEnd w:id="51"/>
      <w:bookmarkEnd w:id="52"/>
      <w:bookmarkEnd w:id="53"/>
      <w:bookmarkEnd w:id="54"/>
      <w:bookmarkEnd w:id="55"/>
      <w:r>
        <w:rPr>
          <w:rFonts w:ascii="MathJax Math" w:hAnsi="MathJax Math"/>
          <w:i/>
        </w:rPr>
        <w:t>K</w:t>
      </w:r>
      <w:r>
        <w:rPr/>
        <w:t xml:space="preserve"> со строкой </w:t>
      </w:r>
      <w:bookmarkStart w:id="56" w:name="MathJax-Element-9-Frame"/>
      <w:bookmarkStart w:id="57" w:name="MathJax-Span-49"/>
      <w:bookmarkStart w:id="58" w:name="MathJax-Span-50"/>
      <w:bookmarkStart w:id="59" w:name="MathJax-Span-51"/>
      <w:bookmarkStart w:id="60" w:name="MathJax-Span-52"/>
      <w:bookmarkStart w:id="61" w:name="MathJax-Span-53"/>
      <w:bookmarkEnd w:id="56"/>
      <w:bookmarkEnd w:id="57"/>
      <w:bookmarkEnd w:id="58"/>
      <w:bookmarkEnd w:id="59"/>
      <w:bookmarkEnd w:id="60"/>
      <w:bookmarkEnd w:id="61"/>
      <w:r>
        <w:rPr>
          <w:rFonts w:ascii="MathJax Math" w:hAnsi="MathJax Math"/>
          <w:i/>
        </w:rPr>
        <w:t>s</w:t>
      </w:r>
      <w:r>
        <w:rPr/>
        <w:t xml:space="preserve"> и числом </w:t>
      </w:r>
      <w:bookmarkStart w:id="62" w:name="MathJax-Element-10-Frame"/>
      <w:bookmarkStart w:id="63" w:name="MathJax-Span-54"/>
      <w:bookmarkStart w:id="64" w:name="MathJax-Span-55"/>
      <w:bookmarkStart w:id="65" w:name="MathJax-Span-56"/>
      <w:bookmarkStart w:id="66" w:name="MathJax-Span-57"/>
      <w:bookmarkStart w:id="67" w:name="MathJax-Span-58"/>
      <w:bookmarkEnd w:id="62"/>
      <w:bookmarkEnd w:id="63"/>
      <w:bookmarkEnd w:id="64"/>
      <w:bookmarkEnd w:id="65"/>
      <w:bookmarkEnd w:id="66"/>
      <w:bookmarkEnd w:id="67"/>
      <w:r>
        <w:rPr>
          <w:rFonts w:ascii="MathJax Math" w:hAnsi="MathJax Math"/>
          <w:i/>
        </w:rPr>
        <w:t>a</w:t>
      </w:r>
      <w:r>
        <w:rPr/>
        <w:t>;</w:t>
      </w:r>
    </w:p>
    <w:p>
      <w:pPr>
        <w:pStyle w:val="Normal"/>
        <w:jc w:val="both"/>
        <w:rPr/>
      </w:pPr>
      <w:r>
        <w:rPr>
          <w:rStyle w:val="Style13"/>
        </w:rPr>
        <w:t xml:space="preserve">= </w:t>
      </w:r>
      <w:bookmarkStart w:id="68" w:name="MathJax-Element-11-Frame"/>
      <w:bookmarkStart w:id="69" w:name="MathJax-Span-59"/>
      <w:bookmarkStart w:id="70" w:name="MathJax-Span-60"/>
      <w:bookmarkStart w:id="71" w:name="MathJax-Span-61"/>
      <w:bookmarkStart w:id="72" w:name="MathJax-Span-62"/>
      <w:bookmarkStart w:id="73" w:name="MathJax-Span-63"/>
      <w:bookmarkEnd w:id="68"/>
      <w:bookmarkEnd w:id="69"/>
      <w:bookmarkEnd w:id="70"/>
      <w:bookmarkEnd w:id="71"/>
      <w:bookmarkEnd w:id="72"/>
      <w:bookmarkEnd w:id="73"/>
      <w:r>
        <w:rPr>
          <w:rFonts w:ascii="MathJax Math" w:hAnsi="MathJax Math"/>
          <w:i/>
        </w:rPr>
        <w:t>x</w:t>
      </w:r>
      <w:bookmarkStart w:id="74" w:name="MathJax-Element-12-Frame"/>
      <w:bookmarkStart w:id="75" w:name="MathJax-Span-64"/>
      <w:bookmarkStart w:id="76" w:name="MathJax-Span-65"/>
      <w:bookmarkStart w:id="77" w:name="MathJax-Span-66"/>
      <w:bookmarkStart w:id="78" w:name="MathJax-Span-67"/>
      <w:bookmarkStart w:id="79" w:name="MathJax-Span-68"/>
      <w:bookmarkEnd w:id="74"/>
      <w:bookmarkEnd w:id="75"/>
      <w:bookmarkEnd w:id="76"/>
      <w:bookmarkEnd w:id="77"/>
      <w:bookmarkEnd w:id="78"/>
      <w:bookmarkEnd w:id="79"/>
      <w:r>
        <w:rPr>
          <w:rFonts w:ascii="MathJax Math" w:hAnsi="MathJax Math"/>
          <w:i/>
        </w:rPr>
        <w:t xml:space="preserve"> s</w:t>
      </w:r>
      <w:r>
        <w:rPr/>
        <w:t xml:space="preserve"> </w:t>
      </w:r>
      <w:bookmarkStart w:id="80" w:name="MathJax-Element-13-Frame"/>
      <w:bookmarkStart w:id="81" w:name="MathJax-Span-69"/>
      <w:bookmarkStart w:id="82" w:name="MathJax-Span-70"/>
      <w:bookmarkStart w:id="83" w:name="MathJax-Span-71"/>
      <w:bookmarkStart w:id="84" w:name="MathJax-Span-72"/>
      <w:bookmarkStart w:id="85" w:name="MathJax-Span-73"/>
      <w:bookmarkEnd w:id="80"/>
      <w:bookmarkEnd w:id="81"/>
      <w:bookmarkEnd w:id="82"/>
      <w:bookmarkEnd w:id="83"/>
      <w:bookmarkEnd w:id="84"/>
      <w:bookmarkEnd w:id="85"/>
      <w:r>
        <w:rPr>
          <w:rFonts w:ascii="MathJax Math" w:hAnsi="MathJax Math"/>
          <w:i/>
        </w:rPr>
        <w:t>a</w:t>
      </w:r>
      <w:r>
        <w:rPr/>
        <w:t xml:space="preserve"> – в запись </w:t>
      </w:r>
      <w:bookmarkStart w:id="86" w:name="MathJax-Element-14-Frame"/>
      <w:bookmarkStart w:id="87" w:name="MathJax-Span-74"/>
      <w:bookmarkStart w:id="88" w:name="MathJax-Span-75"/>
      <w:bookmarkStart w:id="89" w:name="MathJax-Span-76"/>
      <w:bookmarkStart w:id="90" w:name="MathJax-Span-77"/>
      <w:bookmarkStart w:id="91" w:name="MathJax-Span-78"/>
      <w:bookmarkEnd w:id="86"/>
      <w:bookmarkEnd w:id="87"/>
      <w:bookmarkEnd w:id="88"/>
      <w:bookmarkEnd w:id="89"/>
      <w:bookmarkEnd w:id="90"/>
      <w:bookmarkEnd w:id="91"/>
      <w:r>
        <w:rPr>
          <w:rFonts w:ascii="MathJax Math" w:hAnsi="MathJax Math"/>
          <w:i/>
        </w:rPr>
        <w:t>x</w:t>
      </w:r>
      <w:r>
        <w:rPr/>
        <w:t xml:space="preserve"> записать строку </w:t>
      </w:r>
      <w:bookmarkStart w:id="92" w:name="MathJax-Element-15-Frame"/>
      <w:bookmarkStart w:id="93" w:name="MathJax-Span-79"/>
      <w:bookmarkStart w:id="94" w:name="MathJax-Span-80"/>
      <w:bookmarkStart w:id="95" w:name="MathJax-Span-81"/>
      <w:bookmarkStart w:id="96" w:name="MathJax-Span-82"/>
      <w:bookmarkStart w:id="97" w:name="MathJax-Span-83"/>
      <w:bookmarkEnd w:id="92"/>
      <w:bookmarkEnd w:id="93"/>
      <w:bookmarkEnd w:id="94"/>
      <w:bookmarkEnd w:id="95"/>
      <w:bookmarkEnd w:id="96"/>
      <w:bookmarkEnd w:id="97"/>
      <w:r>
        <w:rPr>
          <w:rFonts w:ascii="MathJax Math" w:hAnsi="MathJax Math"/>
          <w:i/>
        </w:rPr>
        <w:t>s</w:t>
      </w:r>
      <w:r>
        <w:rPr/>
        <w:t xml:space="preserve"> и число </w:t>
      </w:r>
      <w:bookmarkStart w:id="98" w:name="MathJax-Element-16-Frame"/>
      <w:bookmarkStart w:id="99" w:name="MathJax-Span-84"/>
      <w:bookmarkStart w:id="100" w:name="MathJax-Span-85"/>
      <w:bookmarkStart w:id="101" w:name="MathJax-Span-86"/>
      <w:bookmarkStart w:id="102" w:name="MathJax-Span-87"/>
      <w:bookmarkStart w:id="103" w:name="MathJax-Span-88"/>
      <w:bookmarkEnd w:id="98"/>
      <w:bookmarkEnd w:id="99"/>
      <w:bookmarkEnd w:id="100"/>
      <w:bookmarkEnd w:id="101"/>
      <w:bookmarkEnd w:id="102"/>
      <w:bookmarkEnd w:id="103"/>
      <w:r>
        <w:rPr>
          <w:rFonts w:ascii="MathJax Math" w:hAnsi="MathJax Math"/>
          <w:i/>
        </w:rPr>
        <w:t>a</w:t>
      </w:r>
      <w:r>
        <w:rPr/>
        <w:t>.</w:t>
      </w:r>
    </w:p>
    <w:p>
      <w:pPr>
        <w:pStyle w:val="Normal"/>
        <w:jc w:val="both"/>
        <w:rPr/>
      </w:pPr>
      <w:r>
        <w:rPr/>
        <w:t xml:space="preserve">Здесь </w:t>
      </w:r>
      <w:bookmarkStart w:id="104" w:name="MathJax-Element-17-Frame"/>
      <w:bookmarkStart w:id="105" w:name="MathJax-Span-89"/>
      <w:bookmarkStart w:id="106" w:name="MathJax-Span-90"/>
      <w:bookmarkStart w:id="107" w:name="MathJax-Span-91"/>
      <w:bookmarkStart w:id="108" w:name="MathJax-Span-92"/>
      <w:bookmarkStart w:id="109" w:name="MathJax-Span-93"/>
      <w:bookmarkEnd w:id="104"/>
      <w:bookmarkEnd w:id="105"/>
      <w:bookmarkEnd w:id="106"/>
      <w:bookmarkEnd w:id="107"/>
      <w:bookmarkEnd w:id="108"/>
      <w:bookmarkEnd w:id="109"/>
      <w:r>
        <w:rPr>
          <w:rFonts w:ascii="MathJax Math" w:hAnsi="MathJax Math"/>
          <w:i/>
        </w:rPr>
        <w:t xml:space="preserve">x </w:t>
      </w:r>
      <w:r>
        <w:rPr/>
        <w:t xml:space="preserve"> – номер от 0 до </w:t>
      </w:r>
      <w:bookmarkStart w:id="110" w:name="MathJax-Element-18-Frame"/>
      <w:bookmarkStart w:id="111" w:name="MathJax-Span-94"/>
      <w:bookmarkStart w:id="112" w:name="MathJax-Span-95"/>
      <w:bookmarkStart w:id="113" w:name="MathJax-Span-96"/>
      <w:bookmarkStart w:id="114" w:name="MathJax-Span-97"/>
      <w:bookmarkStart w:id="115" w:name="MathJax-Span-98"/>
      <w:bookmarkEnd w:id="110"/>
      <w:bookmarkEnd w:id="111"/>
      <w:bookmarkEnd w:id="112"/>
      <w:bookmarkEnd w:id="113"/>
      <w:bookmarkEnd w:id="114"/>
      <w:bookmarkEnd w:id="115"/>
      <w:r>
        <w:rPr>
          <w:rFonts w:ascii="MathJax Math" w:hAnsi="MathJax Math"/>
          <w:i/>
        </w:rPr>
        <w:t>K</w:t>
      </w:r>
      <w:bookmarkStart w:id="116" w:name="MathJax-Span-99"/>
      <w:bookmarkEnd w:id="116"/>
      <w:r>
        <w:rPr/>
        <w:t>−</w:t>
      </w:r>
      <w:bookmarkStart w:id="117" w:name="MathJax-Span-100"/>
      <w:bookmarkEnd w:id="117"/>
      <w:r>
        <w:rPr>
          <w:rFonts w:ascii="MathJax Main" w:hAnsi="MathJax Main"/>
        </w:rPr>
        <w:t>1</w:t>
      </w:r>
      <w:r>
        <w:rPr/>
        <w:t xml:space="preserve">, </w:t>
      </w:r>
      <w:bookmarkStart w:id="118" w:name="MathJax-Element-19-Frame"/>
      <w:bookmarkStart w:id="119" w:name="MathJax-Span-101"/>
      <w:bookmarkStart w:id="120" w:name="MathJax-Span-102"/>
      <w:bookmarkStart w:id="121" w:name="MathJax-Span-103"/>
      <w:bookmarkStart w:id="122" w:name="MathJax-Span-104"/>
      <w:bookmarkStart w:id="123" w:name="MathJax-Span-105"/>
      <w:bookmarkEnd w:id="118"/>
      <w:bookmarkEnd w:id="119"/>
      <w:bookmarkEnd w:id="120"/>
      <w:bookmarkEnd w:id="121"/>
      <w:bookmarkEnd w:id="122"/>
      <w:bookmarkEnd w:id="123"/>
      <w:r>
        <w:rPr>
          <w:rFonts w:ascii="MathJax Math" w:hAnsi="MathJax Math"/>
          <w:i/>
        </w:rPr>
        <w:t>K</w:t>
      </w:r>
      <w:r>
        <w:rPr/>
        <w:t xml:space="preserve"> – текущее количество записей, </w:t>
      </w:r>
      <w:bookmarkStart w:id="124" w:name="MathJax-Element-20-Frame"/>
      <w:bookmarkStart w:id="125" w:name="MathJax-Span-106"/>
      <w:bookmarkStart w:id="126" w:name="MathJax-Span-107"/>
      <w:bookmarkStart w:id="127" w:name="MathJax-Span-108"/>
      <w:bookmarkStart w:id="128" w:name="MathJax-Span-109"/>
      <w:bookmarkStart w:id="129" w:name="MathJax-Span-110"/>
      <w:bookmarkEnd w:id="124"/>
      <w:bookmarkEnd w:id="125"/>
      <w:bookmarkEnd w:id="126"/>
      <w:bookmarkEnd w:id="127"/>
      <w:bookmarkEnd w:id="128"/>
      <w:bookmarkEnd w:id="129"/>
      <w:r>
        <w:rPr>
          <w:rFonts w:ascii="MathJax Math" w:hAnsi="MathJax Math"/>
          <w:i/>
        </w:rPr>
        <w:t>s</w:t>
      </w:r>
      <w:r>
        <w:rPr/>
        <w:t xml:space="preserve"> – строка из строчных латинских букв (длиной от 1 до 39), </w:t>
      </w:r>
      <w:bookmarkStart w:id="130" w:name="MathJax-Element-21-Frame"/>
      <w:bookmarkStart w:id="131" w:name="MathJax-Span-111"/>
      <w:bookmarkStart w:id="132" w:name="MathJax-Span-112"/>
      <w:bookmarkStart w:id="133" w:name="MathJax-Span-113"/>
      <w:bookmarkStart w:id="134" w:name="MathJax-Span-114"/>
      <w:bookmarkStart w:id="135" w:name="MathJax-Span-115"/>
      <w:bookmarkEnd w:id="130"/>
      <w:bookmarkEnd w:id="131"/>
      <w:bookmarkEnd w:id="132"/>
      <w:bookmarkEnd w:id="133"/>
      <w:bookmarkEnd w:id="134"/>
      <w:bookmarkEnd w:id="135"/>
      <w:r>
        <w:rPr>
          <w:rFonts w:ascii="MathJax Math" w:hAnsi="MathJax Math"/>
          <w:i/>
        </w:rPr>
        <w:t>a</w:t>
      </w:r>
      <w:r>
        <w:rPr/>
        <w:t xml:space="preserve"> – целое число.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3. </w:t>
      </w:r>
      <w:r>
        <w:rPr/>
        <w:t>Дан файл archive.zip, вывести список файлов в zip-архиве.</w:t>
      </w:r>
    </w:p>
    <w:p>
      <w:pPr>
        <w:pStyle w:val="Normal"/>
        <w:jc w:val="both"/>
        <w:rPr/>
      </w:pPr>
      <w:r>
        <w:rPr/>
        <w:t>Последние 22 байта zip-архива содержат следующую информацию:</w:t>
      </w:r>
    </w:p>
    <w:tbl>
      <w:tblPr>
        <w:tblW w:w="674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64"/>
        <w:gridCol w:w="786"/>
        <w:gridCol w:w="4795"/>
      </w:tblGrid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Смещение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Размер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Описание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0x06054b50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8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Количество файлов в архиве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12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Смещение от начала архива до списка файлов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9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0</w:t>
            </w:r>
          </w:p>
        </w:tc>
      </w:tr>
    </w:tbl>
    <w:p>
      <w:pPr>
        <w:pStyle w:val="Style22"/>
        <w:spacing w:before="0" w:after="0"/>
        <w:rPr/>
      </w:pPr>
      <w:r>
        <w:rPr/>
      </w:r>
    </w:p>
    <w:p>
      <w:pPr>
        <w:pStyle w:val="Style22"/>
        <w:spacing w:before="0" w:after="0"/>
        <w:jc w:val="both"/>
        <w:rPr/>
      </w:pPr>
      <w:r>
        <w:rPr/>
        <w:t>Каждый элемент списка файлов содержит следующую информацию:</w:t>
      </w:r>
    </w:p>
    <w:tbl>
      <w:tblPr>
        <w:tblW w:w="673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64"/>
        <w:gridCol w:w="786"/>
        <w:gridCol w:w="4785"/>
      </w:tblGrid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Смещение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Размер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Описание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0x02014b50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8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12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14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16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Размер сжатого файла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24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Размер несжатого файла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28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Длина имени файла (n)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30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Длина дополнительной информации (m)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32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Длина комментария (k)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34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36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2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38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-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42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Смещение от начала архива до сжатого файла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46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n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Имя файла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46+n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m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Дополнительная информация</w:t>
            </w:r>
          </w:p>
        </w:tc>
      </w:tr>
      <w:tr>
        <w:trPr/>
        <w:tc>
          <w:tcPr>
            <w:tcW w:w="1164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46+n+m </w:t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 xml:space="preserve">k </w:t>
            </w:r>
          </w:p>
        </w:tc>
        <w:tc>
          <w:tcPr>
            <w:tcW w:w="4785" w:type="dxa"/>
            <w:tcBorders/>
            <w:vAlign w:val="center"/>
          </w:tcPr>
          <w:p>
            <w:pPr>
              <w:pStyle w:val="Style27"/>
              <w:rPr/>
            </w:pPr>
            <w:r>
              <w:rPr/>
              <w:t>Комментарий</w:t>
            </w:r>
          </w:p>
        </w:tc>
      </w:tr>
    </w:tbl>
    <w:p>
      <w:pPr>
        <w:pStyle w:val="Style22"/>
        <w:spacing w:before="0" w:after="0"/>
        <w:jc w:val="both"/>
        <w:rPr/>
      </w:pPr>
      <w:r>
        <w:rPr/>
        <w:t>Для каждого файла вывести его имя, размер сжатого файла и размер несжатого файла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4. </w:t>
      </w:r>
      <w:r>
        <w:rPr/>
        <w:t xml:space="preserve">Ввод содержит некоторый текст до </w:t>
      </w:r>
      <w:bookmarkStart w:id="136" w:name="MathJax-Element-1-Frame1"/>
      <w:bookmarkStart w:id="137" w:name="MathJax-Span-116"/>
      <w:bookmarkStart w:id="138" w:name="MathJax-Span-210"/>
      <w:bookmarkStart w:id="139" w:name="MathJax-Span-310"/>
      <w:bookmarkStart w:id="140" w:name="MathJax-Span-410"/>
      <w:bookmarkStart w:id="141" w:name="MathJax-Span-510"/>
      <w:bookmarkStart w:id="142" w:name="MathJax-Span-610"/>
      <w:bookmarkEnd w:id="136"/>
      <w:bookmarkEnd w:id="137"/>
      <w:bookmarkEnd w:id="138"/>
      <w:bookmarkEnd w:id="139"/>
      <w:bookmarkEnd w:id="140"/>
      <w:bookmarkEnd w:id="141"/>
      <w:bookmarkEnd w:id="142"/>
      <w:r>
        <w:rPr>
          <w:rFonts w:ascii="MathJax Main" w:hAnsi="MathJax Main"/>
        </w:rPr>
        <w:t>10</w:t>
      </w:r>
      <w:bookmarkStart w:id="143" w:name="MathJax-Span-710"/>
      <w:bookmarkEnd w:id="143"/>
      <w:r>
        <w:rPr>
          <w:rFonts w:ascii="MathJax Main" w:hAnsi="MathJax Main"/>
          <w:vertAlign w:val="superscript"/>
        </w:rPr>
        <w:t>6</w:t>
      </w:r>
      <w:r>
        <w:rPr>
          <w:rFonts w:ascii="MathJax Main" w:hAnsi="MathJax Main"/>
        </w:rPr>
        <w:t xml:space="preserve"> </w:t>
      </w:r>
      <w:r>
        <w:rPr/>
        <w:t>символов. Закодировать этот текст с помощью кода Хаффмана.</w:t>
      </w:r>
    </w:p>
    <w:p>
      <w:pPr>
        <w:pStyle w:val="Normal"/>
        <w:jc w:val="both"/>
        <w:rPr/>
      </w:pPr>
      <w:r>
        <w:rPr/>
        <w:t>Дерево кодирования строится следующим образом.</w:t>
      </w:r>
    </w:p>
    <w:p>
      <w:pPr>
        <w:pStyle w:val="Normal"/>
        <w:jc w:val="both"/>
        <w:rPr/>
      </w:pPr>
      <w:r>
        <w:rPr/>
        <w:t>Для каждого символа текста, включая пробелы и переходы на новую строку, подсчитывается количество его появлений в тексте. Для всех символов, появляющихся в тексте хотя бы один раз, добавляется вершина. Кроме того в набор вершин включается нулевой символ для конца текста с количеством появлений 1.</w:t>
      </w:r>
    </w:p>
    <w:p>
      <w:pPr>
        <w:pStyle w:val="Normal"/>
        <w:jc w:val="both"/>
        <w:rPr/>
      </w:pPr>
      <w:r>
        <w:rPr/>
        <w:t>После этого выбирается две вершины с наименьшим количеством появлений и они заменяются на одну вершину с количеством появлений, равным их сумме, а заменяемые вершины становятся ее потомками. Это действие выполняется до тех пор, пока не останется одна вершина.</w:t>
      </w:r>
    </w:p>
    <w:p>
      <w:pPr>
        <w:pStyle w:val="Normal"/>
        <w:jc w:val="both"/>
        <w:rPr/>
      </w:pPr>
      <w:r>
        <w:rPr/>
        <w:t>Первая часть файла содержит структуру дерева кодирования. Бит 1 указывает на лист дерева, далее следует 8 бит ASCII-кода, начиная со старшего. Бит 0 указывает на промежуточный лист дерева, далее следует описание левой ветки дерева, кодируемой битом 0, и правой ветки дерева, кодируемой битом 1.</w:t>
      </w:r>
    </w:p>
    <w:p>
      <w:pPr>
        <w:pStyle w:val="Normal"/>
        <w:jc w:val="both"/>
        <w:rPr/>
      </w:pPr>
      <w:r>
        <w:rPr/>
        <w:t>Вторая часть файла содержит закодированный текст. Коды символов задаются в файле, начиная со старшего бита, и соответствуют пути от корня дерева до листа-символа. Код для нулевого символа завершает вывод закодированного текста. Неполный байт добавляется до полного произвольными битами и выводится.</w:t>
      </w:r>
    </w:p>
    <w:p>
      <w:pPr>
        <w:pStyle w:val="Normal"/>
        <w:jc w:val="both"/>
        <w:rPr/>
      </w:pPr>
      <w:r>
        <w:rPr/>
        <w:t xml:space="preserve">Вывести в файл output.bin структуру дерева и закодированный текст. Если существует несколько вариантов кодирования, то вывести любой из них.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5. </w:t>
      </w:r>
      <w:r>
        <w:rPr/>
        <w:t>Бинарный файл input.bin содержит текст, закодированный с помощью кода Хаффмана.</w:t>
      </w:r>
    </w:p>
    <w:p>
      <w:pPr>
        <w:pStyle w:val="Normal"/>
        <w:jc w:val="both"/>
        <w:rPr/>
      </w:pPr>
      <w:r>
        <w:rPr/>
        <w:t>Первая часть файла содержит структуру дерева кодирования. Бит 1 указывает на лист дерева, далее следует 8 бит ASCII-кода, начиная со старшего. Бит 0 указывает на промежуточный лист дерева, далее следует описание левой ветки дерева, кодируемой битом 0, и правой ветки дерева, кодируемой битом 1.</w:t>
      </w:r>
    </w:p>
    <w:p>
      <w:pPr>
        <w:pStyle w:val="Normal"/>
        <w:jc w:val="both"/>
        <w:rPr/>
      </w:pPr>
      <w:r>
        <w:rPr/>
        <w:t>Вторая часть файла содержит закодированный текст. Коды символов задаются в файле, начиная со старшего бита, и соответствуют пути от корня дерева до листа-символа. Символ с кодом 0 завершает ввод и не выводится.</w:t>
      </w:r>
    </w:p>
    <w:p>
      <w:pPr>
        <w:pStyle w:val="Normal"/>
        <w:jc w:val="both"/>
        <w:rPr/>
      </w:pPr>
      <w:r>
        <w:rPr/>
        <w:t xml:space="preserve">Вывести раскодированный текст. 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1"/>
    <w:next w:val="Style22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1"/>
    <w:next w:val="Style22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7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8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9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0">
    <w:name w:val="Рисунок и подпись"/>
    <w:basedOn w:val="Normal"/>
    <w:next w:val="Style22"/>
    <w:qFormat/>
    <w:pPr>
      <w:jc w:val="center"/>
    </w:pPr>
    <w:rPr>
      <w:rFonts w:ascii="Times New Roman" w:hAnsi="Times New Roman"/>
      <w:sz w:val="28"/>
    </w:rPr>
  </w:style>
  <w:style w:type="paragraph" w:styleId="Style31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2">
    <w:name w:val="Заголовок таблицы"/>
    <w:basedOn w:val="Style27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282</TotalTime>
  <Application>LibreOffice/7.4.0.3$Windows_X86_64 LibreOffice_project/f85e47c08ddd19c015c0114a68350214f7066f5a</Application>
  <AppVersion>15.0000</AppVersion>
  <Pages>2</Pages>
  <Words>582</Words>
  <Characters>3006</Characters>
  <CharactersWithSpaces>3545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2022-08-29T20:54:38Z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