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gif" ContentType="image/gi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ru-RU"/>
        </w:rPr>
      </w:pPr>
      <w:r>
        <w:rPr>
          <w:rFonts w:cs="Arial" w:ascii="Arial" w:hAnsi="Arial"/>
          <w:sz w:val="25"/>
          <w:szCs w:val="25"/>
          <w:lang w:val="ru-RU"/>
        </w:rPr>
        <w:t>Контрольная работа 1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  <w:t>Вариант 1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  <w:t>1. Ввод содержит два целых числа A и B в шестнадцатеричной системе счисления (0 ≤ A, B ≤10</w:t>
      </w:r>
      <w:r>
        <w:rPr>
          <w:vertAlign w:val="superscript"/>
          <w:lang w:val="ru-RU"/>
        </w:rPr>
        <w:t>9</w:t>
      </w:r>
      <w:r>
        <w:rPr>
          <w:lang w:val="ru-RU"/>
        </w:rPr>
        <w:t>).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  <w:t>Вывести одно целое число – сумму чисел A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  <w:t>и B в шестнадцатеричной системе счисления. Буквы в числе должны быть прописными.</w:t>
      </w:r>
    </w:p>
    <w:p>
      <w:pPr>
        <w:pStyle w:val="Normal"/>
        <w:spacing w:lineRule="auto" w:line="240"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rPr>
          <w:lang w:val="ru-RU"/>
        </w:rPr>
      </w:pPr>
      <w:r>
        <w:rPr/>
        <w:t xml:space="preserve">2. </w:t>
      </w:r>
      <w:r>
        <w:rPr/>
        <w:t xml:space="preserve">Напишите операторы, которые при подстановке в указанную строку выполняют расчет </w:t>
      </w:r>
      <w:r>
        <w:rPr/>
        <w:drawing>
          <wp:inline distT="0" distB="0" distL="0" distR="0">
            <wp:extent cx="1371600" cy="16891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при заданном значении </w:t>
      </w:r>
      <w:bookmarkStart w:id="0" w:name="MathJax-Element-1-Frame"/>
      <w:bookmarkStart w:id="1" w:name="MathJax-Span-1"/>
      <w:bookmarkStart w:id="2" w:name="MathJax-Span-2"/>
      <w:bookmarkStart w:id="3" w:name="MathJax-Span-3"/>
      <w:bookmarkStart w:id="4" w:name="MathJax-Span-4"/>
      <w:bookmarkStart w:id="5" w:name="MathJax-Span-5"/>
      <w:bookmarkEnd w:id="0"/>
      <w:bookmarkEnd w:id="1"/>
      <w:bookmarkEnd w:id="2"/>
      <w:bookmarkEnd w:id="3"/>
      <w:bookmarkEnd w:id="4"/>
      <w:bookmarkEnd w:id="5"/>
      <w:r>
        <w:rPr>
          <w:rFonts w:ascii="MathJax Math" w:hAnsi="MathJax Math"/>
          <w:i/>
        </w:rPr>
        <w:t>x</w:t>
      </w:r>
      <w:r>
        <w:rPr/>
        <w:t xml:space="preserve">, </w:t>
      </w:r>
      <w:bookmarkStart w:id="6" w:name="MathJax-Element-2-Frame"/>
      <w:bookmarkStart w:id="7" w:name="MathJax-Span-6"/>
      <w:bookmarkStart w:id="8" w:name="MathJax-Span-7"/>
      <w:bookmarkStart w:id="9" w:name="MathJax-Span-8"/>
      <w:bookmarkStart w:id="10" w:name="MathJax-Span-9"/>
      <w:bookmarkStart w:id="11" w:name="MathJax-Span-10"/>
      <w:bookmarkEnd w:id="6"/>
      <w:bookmarkEnd w:id="7"/>
      <w:bookmarkEnd w:id="8"/>
      <w:bookmarkEnd w:id="9"/>
      <w:bookmarkEnd w:id="10"/>
      <w:bookmarkEnd w:id="11"/>
      <w:r>
        <w:rPr>
          <w:rFonts w:ascii="MathJax Math" w:hAnsi="MathJax Math"/>
          <w:i/>
        </w:rPr>
        <w:t>z</w:t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spacing w:lineRule="auto" w:line="240" w:before="0" w:after="0"/>
        <w:rPr/>
      </w:pPr>
      <w:r>
        <w:rPr>
          <w:i w:val="false"/>
          <w:iCs w:val="false"/>
        </w:rPr>
        <w:t xml:space="preserve">3. </w:t>
      </w:r>
      <w:r>
        <w:rPr/>
        <w:t xml:space="preserve">Написать программу вычисления </w:t>
      </w:r>
      <w:bookmarkStart w:id="12" w:name="MathJax-Element-1-Frame2"/>
      <w:bookmarkStart w:id="13" w:name="MathJax-Span-110"/>
      <w:bookmarkStart w:id="14" w:name="MathJax-Span-210"/>
      <w:bookmarkStart w:id="15" w:name="MathJax-Span-310"/>
      <w:bookmarkStart w:id="16" w:name="MathJax-Span-410"/>
      <w:bookmarkStart w:id="17" w:name="MathJax-Span-52"/>
      <w:bookmarkEnd w:id="12"/>
      <w:bookmarkEnd w:id="13"/>
      <w:bookmarkEnd w:id="14"/>
      <w:bookmarkEnd w:id="15"/>
      <w:bookmarkEnd w:id="16"/>
      <w:bookmarkEnd w:id="17"/>
      <w:r>
        <w:rPr>
          <w:rFonts w:ascii="MathJax Math" w:hAnsi="MathJax Math"/>
          <w:i/>
        </w:rPr>
        <w:t xml:space="preserve">y </w:t>
      </w:r>
      <w:r>
        <w:rPr/>
        <w:t>по формуле:</w:t>
      </w:r>
    </w:p>
    <w:p>
      <w:pPr>
        <w:pStyle w:val="Normal"/>
        <w:spacing w:before="0" w:after="0"/>
        <w:jc w:val="center"/>
        <w:rPr/>
      </w:pPr>
      <w:r>
        <w:rPr/>
        <w:drawing>
          <wp:inline distT="0" distB="0" distL="0" distR="0">
            <wp:extent cx="2857500" cy="857250"/>
            <wp:effectExtent l="0" t="0" r="0" b="0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spacing w:lineRule="auto" w:line="240" w:before="0" w:after="0"/>
        <w:rPr/>
      </w:pPr>
      <w:r>
        <w:rPr>
          <w:i w:val="false"/>
          <w:iCs w:val="false"/>
        </w:rPr>
        <w:t xml:space="preserve">4. </w:t>
      </w:r>
      <w:r>
        <w:rPr/>
        <w:t xml:space="preserve">Определите, можно ли окружность радиуса </w:t>
      </w:r>
      <w:bookmarkStart w:id="18" w:name="MathJax-Element-1-Frame1"/>
      <w:bookmarkStart w:id="19" w:name="MathJax-Span-16"/>
      <w:bookmarkStart w:id="20" w:name="MathJax-Span-21"/>
      <w:bookmarkStart w:id="21" w:name="MathJax-Span-31"/>
      <w:bookmarkStart w:id="22" w:name="MathJax-Span-41"/>
      <w:bookmarkStart w:id="23" w:name="MathJax-Span-51"/>
      <w:bookmarkEnd w:id="18"/>
      <w:bookmarkEnd w:id="19"/>
      <w:bookmarkEnd w:id="20"/>
      <w:bookmarkEnd w:id="21"/>
      <w:bookmarkEnd w:id="22"/>
      <w:bookmarkEnd w:id="23"/>
      <w:r>
        <w:rPr>
          <w:rFonts w:ascii="MathJax Math" w:hAnsi="MathJax Math"/>
          <w:i/>
        </w:rPr>
        <w:t>r</w:t>
      </w:r>
      <w:r>
        <w:rPr/>
        <w:t xml:space="preserve"> разместить внутри ромба с диагоналями </w:t>
      </w:r>
      <w:bookmarkStart w:id="24" w:name="MathJax-Element-2-Frame1"/>
      <w:bookmarkStart w:id="25" w:name="MathJax-Span-61"/>
      <w:bookmarkStart w:id="26" w:name="MathJax-Span-71"/>
      <w:bookmarkStart w:id="27" w:name="MathJax-Span-81"/>
      <w:bookmarkStart w:id="28" w:name="MathJax-Span-91"/>
      <w:bookmarkStart w:id="29" w:name="MathJax-Span-101"/>
      <w:bookmarkEnd w:id="24"/>
      <w:bookmarkEnd w:id="25"/>
      <w:bookmarkEnd w:id="26"/>
      <w:bookmarkEnd w:id="27"/>
      <w:bookmarkEnd w:id="28"/>
      <w:bookmarkEnd w:id="29"/>
      <w:r>
        <w:rPr>
          <w:rFonts w:ascii="MathJax Math" w:hAnsi="MathJax Math"/>
          <w:i/>
        </w:rPr>
        <w:t>a</w:t>
      </w:r>
      <w:r>
        <w:rPr/>
        <w:t xml:space="preserve"> и </w:t>
      </w:r>
      <w:bookmarkStart w:id="30" w:name="MathJax-Element-3-Frame"/>
      <w:bookmarkStart w:id="31" w:name="MathJax-Span-11"/>
      <w:bookmarkStart w:id="32" w:name="MathJax-Span-12"/>
      <w:bookmarkStart w:id="33" w:name="MathJax-Span-13"/>
      <w:bookmarkStart w:id="34" w:name="MathJax-Span-14"/>
      <w:bookmarkStart w:id="35" w:name="MathJax-Span-15"/>
      <w:bookmarkEnd w:id="30"/>
      <w:bookmarkEnd w:id="31"/>
      <w:bookmarkEnd w:id="32"/>
      <w:bookmarkEnd w:id="33"/>
      <w:bookmarkEnd w:id="34"/>
      <w:bookmarkEnd w:id="35"/>
      <w:r>
        <w:rPr>
          <w:rFonts w:ascii="MathJax Math" w:hAnsi="MathJax Math"/>
          <w:i/>
        </w:rPr>
        <w:t>b</w:t>
      </w:r>
      <w:r>
        <w:rPr/>
        <w:t>.</w:t>
      </w:r>
    </w:p>
    <w:p>
      <w:pPr>
        <w:pStyle w:val="Normal"/>
        <w:spacing w:before="0" w:after="0"/>
        <w:jc w:val="both"/>
        <w:rPr/>
      </w:pPr>
      <w:r>
        <w:rPr/>
        <w:t xml:space="preserve">В первой строке содержится вещественное число </w:t>
      </w:r>
      <w:bookmarkStart w:id="36" w:name="MathJax-Element-4-Frame"/>
      <w:bookmarkStart w:id="37" w:name="MathJax-Span-161"/>
      <w:bookmarkStart w:id="38" w:name="MathJax-Span-17"/>
      <w:bookmarkStart w:id="39" w:name="MathJax-Span-18"/>
      <w:bookmarkStart w:id="40" w:name="MathJax-Span-19"/>
      <w:bookmarkStart w:id="41" w:name="MathJax-Span-20"/>
      <w:bookmarkEnd w:id="36"/>
      <w:bookmarkEnd w:id="37"/>
      <w:bookmarkEnd w:id="38"/>
      <w:bookmarkEnd w:id="39"/>
      <w:bookmarkEnd w:id="40"/>
      <w:bookmarkEnd w:id="41"/>
      <w:r>
        <w:rPr>
          <w:rFonts w:ascii="MathJax Math" w:hAnsi="MathJax Math"/>
          <w:i/>
        </w:rPr>
        <w:t>r</w:t>
      </w:r>
      <w:bookmarkStart w:id="42" w:name="MathJax-Span-211"/>
      <w:bookmarkEnd w:id="42"/>
      <w:r>
        <w:rPr/>
        <w:t> </w:t>
      </w:r>
      <w:bookmarkStart w:id="43" w:name="MathJax-Span-22"/>
      <w:bookmarkStart w:id="44" w:name="MathJax-Span-23"/>
      <w:bookmarkEnd w:id="43"/>
      <w:bookmarkEnd w:id="44"/>
      <w:r>
        <w:rPr>
          <w:rFonts w:ascii="MathJax Main" w:hAnsi="MathJax Main"/>
        </w:rPr>
        <w:t>(</w:t>
      </w:r>
      <w:bookmarkStart w:id="45" w:name="MathJax-Span-24"/>
      <w:bookmarkEnd w:id="45"/>
      <w:r>
        <w:rPr>
          <w:rFonts w:ascii="MathJax Math" w:hAnsi="MathJax Math"/>
          <w:i/>
        </w:rPr>
        <w:t>r</w:t>
      </w:r>
      <w:bookmarkStart w:id="46" w:name="MathJax-Span-25"/>
      <w:bookmarkEnd w:id="46"/>
      <w:r>
        <w:rPr>
          <w:rFonts w:ascii="MathJax Main" w:hAnsi="MathJax Main"/>
        </w:rPr>
        <w:t>&gt;</w:t>
      </w:r>
      <w:bookmarkStart w:id="47" w:name="MathJax-Span-26"/>
      <w:bookmarkEnd w:id="47"/>
      <w:r>
        <w:rPr>
          <w:rFonts w:ascii="MathJax Main" w:hAnsi="MathJax Main"/>
        </w:rPr>
        <w:t>0</w:t>
      </w:r>
      <w:bookmarkStart w:id="48" w:name="MathJax-Span-27"/>
      <w:bookmarkEnd w:id="48"/>
      <w:r>
        <w:rPr>
          <w:rFonts w:ascii="MathJax Main" w:hAnsi="MathJax Main"/>
        </w:rPr>
        <w:t xml:space="preserve">) </w:t>
      </w:r>
      <w:r>
        <w:rPr/>
        <w:t xml:space="preserve"> – радиус окружности. Во второй строке содержатся вещественные числа </w:t>
      </w:r>
      <w:bookmarkStart w:id="49" w:name="MathJax-Element-5-Frame"/>
      <w:bookmarkStart w:id="50" w:name="MathJax-Span-28"/>
      <w:bookmarkStart w:id="51" w:name="MathJax-Span-29"/>
      <w:bookmarkStart w:id="52" w:name="MathJax-Span-30"/>
      <w:bookmarkStart w:id="53" w:name="MathJax-Span-311"/>
      <w:bookmarkStart w:id="54" w:name="MathJax-Span-32"/>
      <w:bookmarkEnd w:id="49"/>
      <w:bookmarkEnd w:id="50"/>
      <w:bookmarkEnd w:id="51"/>
      <w:bookmarkEnd w:id="52"/>
      <w:bookmarkEnd w:id="53"/>
      <w:bookmarkEnd w:id="54"/>
      <w:r>
        <w:rPr>
          <w:rFonts w:ascii="MathJax Math" w:hAnsi="MathJax Math"/>
          <w:i/>
        </w:rPr>
        <w:t>a</w:t>
      </w:r>
      <w:r>
        <w:rPr/>
        <w:t xml:space="preserve"> и </w:t>
      </w:r>
      <w:bookmarkStart w:id="55" w:name="MathJax-Element-6-Frame"/>
      <w:bookmarkStart w:id="56" w:name="MathJax-Span-33"/>
      <w:bookmarkStart w:id="57" w:name="MathJax-Span-34"/>
      <w:bookmarkStart w:id="58" w:name="MathJax-Span-35"/>
      <w:bookmarkStart w:id="59" w:name="MathJax-Span-36"/>
      <w:bookmarkStart w:id="60" w:name="MathJax-Span-37"/>
      <w:bookmarkEnd w:id="55"/>
      <w:bookmarkEnd w:id="56"/>
      <w:bookmarkEnd w:id="57"/>
      <w:bookmarkEnd w:id="58"/>
      <w:bookmarkEnd w:id="59"/>
      <w:bookmarkEnd w:id="60"/>
      <w:r>
        <w:rPr>
          <w:rFonts w:ascii="MathJax Math" w:hAnsi="MathJax Math"/>
          <w:i/>
        </w:rPr>
        <w:t>b</w:t>
      </w:r>
      <w:bookmarkStart w:id="61" w:name="MathJax-Span-38"/>
      <w:bookmarkEnd w:id="61"/>
      <w:r>
        <w:rPr/>
        <w:t> </w:t>
      </w:r>
      <w:bookmarkStart w:id="62" w:name="MathJax-Span-39"/>
      <w:bookmarkStart w:id="63" w:name="MathJax-Span-40"/>
      <w:bookmarkEnd w:id="62"/>
      <w:bookmarkEnd w:id="63"/>
      <w:r>
        <w:rPr>
          <w:rFonts w:ascii="MathJax Main" w:hAnsi="MathJax Main"/>
        </w:rPr>
        <w:t>(</w:t>
      </w:r>
      <w:bookmarkStart w:id="64" w:name="MathJax-Span-411"/>
      <w:bookmarkEnd w:id="64"/>
      <w:r>
        <w:rPr>
          <w:rFonts w:ascii="MathJax Math" w:hAnsi="MathJax Math"/>
          <w:i/>
        </w:rPr>
        <w:t>a</w:t>
      </w:r>
      <w:bookmarkStart w:id="65" w:name="MathJax-Span-42"/>
      <w:bookmarkEnd w:id="65"/>
      <w:r>
        <w:rPr>
          <w:rFonts w:ascii="MathJax Main" w:hAnsi="MathJax Main"/>
        </w:rPr>
        <w:t>,</w:t>
      </w:r>
      <w:bookmarkStart w:id="66" w:name="MathJax-Span-43"/>
      <w:bookmarkEnd w:id="66"/>
      <w:r>
        <w:rPr/>
        <w:t> </w:t>
      </w:r>
      <w:bookmarkStart w:id="67" w:name="MathJax-Span-44"/>
      <w:bookmarkEnd w:id="67"/>
      <w:r>
        <w:rPr>
          <w:rFonts w:ascii="MathJax Math" w:hAnsi="MathJax Math"/>
          <w:i/>
        </w:rPr>
        <w:t>b</w:t>
      </w:r>
      <w:bookmarkStart w:id="68" w:name="MathJax-Span-45"/>
      <w:bookmarkEnd w:id="68"/>
      <w:r>
        <w:rPr/>
        <w:t> </w:t>
      </w:r>
      <w:bookmarkStart w:id="69" w:name="MathJax-Span-46"/>
      <w:bookmarkEnd w:id="69"/>
      <w:r>
        <w:rPr>
          <w:rFonts w:ascii="MathJax Main" w:hAnsi="MathJax Main"/>
        </w:rPr>
        <w:t>&gt;</w:t>
      </w:r>
      <w:bookmarkStart w:id="70" w:name="MathJax-Span-47"/>
      <w:bookmarkEnd w:id="70"/>
      <w:r>
        <w:rPr/>
        <w:t> </w:t>
      </w:r>
      <w:bookmarkStart w:id="71" w:name="MathJax-Span-48"/>
      <w:bookmarkEnd w:id="71"/>
      <w:r>
        <w:rPr>
          <w:rFonts w:ascii="MathJax Main" w:hAnsi="MathJax Main"/>
        </w:rPr>
        <w:t>0</w:t>
      </w:r>
      <w:bookmarkStart w:id="72" w:name="MathJax-Span-49"/>
      <w:bookmarkEnd w:id="72"/>
      <w:r>
        <w:rPr>
          <w:rFonts w:ascii="MathJax Main" w:hAnsi="MathJax Main"/>
        </w:rPr>
        <w:t xml:space="preserve">) </w:t>
      </w:r>
      <w:r>
        <w:rPr/>
        <w:t> – диагонали ромба.</w:t>
      </w:r>
    </w:p>
    <w:p>
      <w:pPr>
        <w:pStyle w:val="Normal"/>
        <w:spacing w:before="0" w:after="0"/>
        <w:jc w:val="both"/>
        <w:rPr/>
      </w:pPr>
      <w:r>
        <w:rPr/>
        <w:t>Вывести "Yes", если окружность можно разместить внутри ромба, или "No" в противном случае.</w:t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spacing w:lineRule="auto" w:line="240" w:before="0" w:after="0"/>
        <w:rPr/>
      </w:pPr>
      <w:r>
        <w:rPr>
          <w:i w:val="false"/>
          <w:iCs w:val="false"/>
        </w:rPr>
        <w:t xml:space="preserve">5. </w:t>
      </w:r>
      <w:r>
        <w:rPr/>
        <w:t>Вы, наверно, обращали внимание на надпись в городском транспорте "Багаж по одному из габаритов больше 30x50x100 провозить запрещено". Напишите программу, определяющую размеры прямоугольного параллелепипеда минимального объема, который нельзя провезти в городском транспорте.</w:t>
      </w:r>
    </w:p>
    <w:p>
      <w:pPr>
        <w:pStyle w:val="Normal"/>
        <w:spacing w:before="0" w:after="0"/>
        <w:jc w:val="both"/>
        <w:rPr/>
      </w:pPr>
      <w:r>
        <w:rPr/>
        <w:t xml:space="preserve">Вводятся три целых числа </w:t>
      </w:r>
      <w:bookmarkStart w:id="73" w:name="MathJax-Element-1-Frame3"/>
      <w:bookmarkStart w:id="74" w:name="MathJax-Span-111"/>
      <w:bookmarkStart w:id="75" w:name="MathJax-Span-212"/>
      <w:bookmarkStart w:id="76" w:name="MathJax-Span-312"/>
      <w:bookmarkStart w:id="77" w:name="MathJax-Span-412"/>
      <w:bookmarkStart w:id="78" w:name="MathJax-Span-53"/>
      <w:bookmarkEnd w:id="73"/>
      <w:bookmarkEnd w:id="74"/>
      <w:bookmarkEnd w:id="75"/>
      <w:bookmarkEnd w:id="76"/>
      <w:bookmarkEnd w:id="77"/>
      <w:bookmarkEnd w:id="78"/>
      <w:r>
        <w:rPr>
          <w:rFonts w:ascii="MathJax Math" w:hAnsi="MathJax Math"/>
          <w:i/>
        </w:rPr>
        <w:t>A</w:t>
      </w:r>
      <w:r>
        <w:rPr/>
        <w:t xml:space="preserve">, </w:t>
      </w:r>
      <w:bookmarkStart w:id="79" w:name="MathJax-Element-2-Frame2"/>
      <w:bookmarkStart w:id="80" w:name="MathJax-Span-62"/>
      <w:bookmarkStart w:id="81" w:name="MathJax-Span-72"/>
      <w:bookmarkStart w:id="82" w:name="MathJax-Span-82"/>
      <w:bookmarkStart w:id="83" w:name="MathJax-Span-92"/>
      <w:bookmarkStart w:id="84" w:name="MathJax-Span-102"/>
      <w:bookmarkEnd w:id="79"/>
      <w:bookmarkEnd w:id="80"/>
      <w:bookmarkEnd w:id="81"/>
      <w:bookmarkEnd w:id="82"/>
      <w:bookmarkEnd w:id="83"/>
      <w:bookmarkEnd w:id="84"/>
      <w:r>
        <w:rPr>
          <w:rFonts w:ascii="MathJax Math" w:hAnsi="MathJax Math"/>
          <w:i/>
        </w:rPr>
        <w:t>B</w:t>
      </w:r>
      <w:r>
        <w:rPr/>
        <w:t xml:space="preserve">, </w:t>
      </w:r>
      <w:bookmarkStart w:id="85" w:name="MathJax-Element-3-Frame1"/>
      <w:bookmarkStart w:id="86" w:name="MathJax-Span-112"/>
      <w:bookmarkStart w:id="87" w:name="MathJax-Span-121"/>
      <w:bookmarkStart w:id="88" w:name="MathJax-Span-131"/>
      <w:bookmarkStart w:id="89" w:name="MathJax-Span-141"/>
      <w:bookmarkStart w:id="90" w:name="MathJax-Span-151"/>
      <w:bookmarkEnd w:id="85"/>
      <w:bookmarkEnd w:id="86"/>
      <w:bookmarkEnd w:id="87"/>
      <w:bookmarkEnd w:id="88"/>
      <w:bookmarkEnd w:id="89"/>
      <w:bookmarkEnd w:id="90"/>
      <w:r>
        <w:rPr>
          <w:rFonts w:ascii="MathJax Math" w:hAnsi="MathJax Math"/>
          <w:i/>
        </w:rPr>
        <w:t>C</w:t>
      </w:r>
      <w:r>
        <w:rPr/>
        <w:t xml:space="preserve"> через пробел – пределы для габаритов запрещенного груза (</w:t>
      </w:r>
      <w:bookmarkStart w:id="91" w:name="MathJax-Element-4-Frame1"/>
      <w:bookmarkStart w:id="92" w:name="MathJax-Span-162"/>
      <w:bookmarkStart w:id="93" w:name="MathJax-Span-171"/>
      <w:bookmarkStart w:id="94" w:name="MathJax-Span-181"/>
      <w:bookmarkStart w:id="95" w:name="MathJax-Span-191"/>
      <w:bookmarkStart w:id="96" w:name="MathJax-Span-201"/>
      <w:bookmarkEnd w:id="91"/>
      <w:bookmarkEnd w:id="92"/>
      <w:bookmarkEnd w:id="93"/>
      <w:bookmarkEnd w:id="94"/>
      <w:bookmarkEnd w:id="95"/>
      <w:bookmarkEnd w:id="96"/>
      <w:r>
        <w:rPr>
          <w:rFonts w:ascii="MathJax Main" w:hAnsi="MathJax Main"/>
        </w:rPr>
        <w:t>1</w:t>
      </w:r>
      <w:bookmarkStart w:id="97" w:name="MathJax-Span-213"/>
      <w:bookmarkEnd w:id="97"/>
      <w:r>
        <w:rPr/>
        <w:t> </w:t>
      </w:r>
      <w:bookmarkStart w:id="98" w:name="MathJax-Span-221"/>
      <w:bookmarkEnd w:id="98"/>
      <w:r>
        <w:rPr/>
        <w:t>≤</w:t>
      </w:r>
      <w:bookmarkStart w:id="99" w:name="MathJax-Span-231"/>
      <w:bookmarkEnd w:id="99"/>
      <w:r>
        <w:rPr/>
        <w:t> </w:t>
      </w:r>
      <w:bookmarkStart w:id="100" w:name="MathJax-Span-241"/>
      <w:bookmarkEnd w:id="100"/>
      <w:r>
        <w:rPr>
          <w:rFonts w:ascii="MathJax Math" w:hAnsi="MathJax Math"/>
          <w:i/>
        </w:rPr>
        <w:t>A</w:t>
      </w:r>
      <w:bookmarkStart w:id="101" w:name="MathJax-Span-251"/>
      <w:bookmarkEnd w:id="101"/>
      <w:r>
        <w:rPr/>
        <w:t> </w:t>
      </w:r>
      <w:bookmarkStart w:id="102" w:name="MathJax-Span-261"/>
      <w:bookmarkEnd w:id="102"/>
      <w:r>
        <w:rPr/>
        <w:t>≤</w:t>
      </w:r>
      <w:bookmarkStart w:id="103" w:name="MathJax-Span-271"/>
      <w:bookmarkEnd w:id="103"/>
      <w:r>
        <w:rPr/>
        <w:t> </w:t>
      </w:r>
      <w:bookmarkStart w:id="104" w:name="MathJax-Span-281"/>
      <w:bookmarkEnd w:id="104"/>
      <w:r>
        <w:rPr>
          <w:rFonts w:ascii="MathJax Math" w:hAnsi="MathJax Math"/>
          <w:i/>
        </w:rPr>
        <w:t>B</w:t>
      </w:r>
      <w:bookmarkStart w:id="105" w:name="MathJax-Span-291"/>
      <w:bookmarkEnd w:id="105"/>
      <w:r>
        <w:rPr/>
        <w:t> </w:t>
      </w:r>
      <w:bookmarkStart w:id="106" w:name="MathJax-Span-301"/>
      <w:bookmarkEnd w:id="106"/>
      <w:r>
        <w:rPr/>
        <w:t>≤</w:t>
      </w:r>
      <w:bookmarkStart w:id="107" w:name="MathJax-Span-313"/>
      <w:bookmarkEnd w:id="107"/>
      <w:r>
        <w:rPr/>
        <w:t> </w:t>
      </w:r>
      <w:bookmarkStart w:id="108" w:name="MathJax-Span-321"/>
      <w:bookmarkEnd w:id="108"/>
      <w:r>
        <w:rPr>
          <w:rFonts w:ascii="MathJax Math" w:hAnsi="MathJax Math"/>
          <w:i/>
        </w:rPr>
        <w:t>C</w:t>
      </w:r>
      <w:bookmarkStart w:id="109" w:name="MathJax-Span-331"/>
      <w:bookmarkEnd w:id="109"/>
      <w:r>
        <w:rPr/>
        <w:t> </w:t>
      </w:r>
      <w:bookmarkStart w:id="110" w:name="MathJax-Span-341"/>
      <w:bookmarkEnd w:id="110"/>
      <w:r>
        <w:rPr/>
        <w:t>≤</w:t>
      </w:r>
      <w:bookmarkStart w:id="111" w:name="MathJax-Span-351"/>
      <w:bookmarkEnd w:id="111"/>
      <w:r>
        <w:rPr/>
        <w:t> </w:t>
      </w:r>
      <w:bookmarkStart w:id="112" w:name="MathJax-Span-361"/>
      <w:bookmarkEnd w:id="112"/>
      <w:r>
        <w:rPr>
          <w:rFonts w:ascii="MathJax Main" w:hAnsi="MathJax Main"/>
        </w:rPr>
        <w:t>200</w:t>
      </w:r>
      <w:r>
        <w:rPr/>
        <w:t>).</w:t>
      </w:r>
    </w:p>
    <w:p>
      <w:pPr>
        <w:pStyle w:val="Normal"/>
        <w:spacing w:before="0" w:after="0"/>
        <w:jc w:val="both"/>
        <w:rPr/>
      </w:pPr>
      <w:r>
        <w:rPr/>
        <w:t xml:space="preserve">Вывести три положительных целых числа </w:t>
      </w:r>
      <w:bookmarkStart w:id="113" w:name="MathJax-Element-5-Frame1"/>
      <w:bookmarkStart w:id="114" w:name="MathJax-Span-371"/>
      <w:bookmarkStart w:id="115" w:name="MathJax-Span-381"/>
      <w:bookmarkStart w:id="116" w:name="MathJax-Span-391"/>
      <w:bookmarkStart w:id="117" w:name="MathJax-Span-401"/>
      <w:bookmarkStart w:id="118" w:name="MathJax-Span-413"/>
      <w:bookmarkEnd w:id="113"/>
      <w:bookmarkEnd w:id="114"/>
      <w:bookmarkEnd w:id="115"/>
      <w:bookmarkEnd w:id="116"/>
      <w:bookmarkEnd w:id="117"/>
      <w:bookmarkEnd w:id="118"/>
      <w:r>
        <w:rPr>
          <w:rFonts w:ascii="MathJax Math" w:hAnsi="MathJax Math"/>
          <w:i/>
        </w:rPr>
        <w:t>X</w:t>
      </w:r>
      <w:r>
        <w:rPr/>
        <w:t xml:space="preserve">, </w:t>
      </w:r>
      <w:bookmarkStart w:id="119" w:name="MathJax-Element-6-Frame1"/>
      <w:bookmarkStart w:id="120" w:name="MathJax-Span-421"/>
      <w:bookmarkStart w:id="121" w:name="MathJax-Span-431"/>
      <w:bookmarkStart w:id="122" w:name="MathJax-Span-441"/>
      <w:bookmarkStart w:id="123" w:name="MathJax-Span-451"/>
      <w:bookmarkStart w:id="124" w:name="MathJax-Span-461"/>
      <w:bookmarkEnd w:id="119"/>
      <w:bookmarkEnd w:id="120"/>
      <w:bookmarkEnd w:id="121"/>
      <w:bookmarkEnd w:id="122"/>
      <w:bookmarkEnd w:id="123"/>
      <w:bookmarkEnd w:id="124"/>
      <w:r>
        <w:rPr>
          <w:rFonts w:ascii="MathJax Math" w:hAnsi="MathJax Math"/>
          <w:i/>
        </w:rPr>
        <w:t>Y</w:t>
      </w:r>
      <w:r>
        <w:rPr/>
        <w:t xml:space="preserve">, </w:t>
      </w:r>
      <w:bookmarkStart w:id="125" w:name="MathJax-Element-7-Frame"/>
      <w:bookmarkStart w:id="126" w:name="MathJax-Span-471"/>
      <w:bookmarkStart w:id="127" w:name="MathJax-Span-481"/>
      <w:bookmarkStart w:id="128" w:name="MathJax-Span-491"/>
      <w:bookmarkStart w:id="129" w:name="MathJax-Span-50"/>
      <w:bookmarkStart w:id="130" w:name="MathJax-Span-511"/>
      <w:bookmarkEnd w:id="125"/>
      <w:bookmarkEnd w:id="126"/>
      <w:bookmarkEnd w:id="127"/>
      <w:bookmarkEnd w:id="128"/>
      <w:bookmarkEnd w:id="129"/>
      <w:bookmarkEnd w:id="130"/>
      <w:r>
        <w:rPr>
          <w:rFonts w:ascii="MathJax Math" w:hAnsi="MathJax Math"/>
          <w:i/>
        </w:rPr>
        <w:t>Z</w:t>
      </w:r>
      <w:r>
        <w:rPr/>
        <w:t xml:space="preserve"> в порядке возрастания – размеры прямоугольного параллелепипеда минимального объема, запрещенного к провозу (</w:t>
      </w:r>
      <w:bookmarkStart w:id="131" w:name="MathJax-Element-8-Frame"/>
      <w:bookmarkStart w:id="132" w:name="MathJax-Span-521"/>
      <w:bookmarkStart w:id="133" w:name="MathJax-Span-531"/>
      <w:bookmarkStart w:id="134" w:name="MathJax-Span-54"/>
      <w:bookmarkStart w:id="135" w:name="MathJax-Span-55"/>
      <w:bookmarkStart w:id="136" w:name="MathJax-Span-56"/>
      <w:bookmarkEnd w:id="131"/>
      <w:bookmarkEnd w:id="132"/>
      <w:bookmarkEnd w:id="133"/>
      <w:bookmarkEnd w:id="134"/>
      <w:bookmarkEnd w:id="135"/>
      <w:bookmarkEnd w:id="136"/>
      <w:r>
        <w:rPr>
          <w:rFonts w:ascii="MathJax Main" w:hAnsi="MathJax Main"/>
        </w:rPr>
        <w:t>1</w:t>
      </w:r>
      <w:bookmarkStart w:id="137" w:name="MathJax-Span-57"/>
      <w:bookmarkEnd w:id="137"/>
      <w:r>
        <w:rPr/>
        <w:t> </w:t>
      </w:r>
      <w:bookmarkStart w:id="138" w:name="MathJax-Span-58"/>
      <w:bookmarkEnd w:id="138"/>
      <w:r>
        <w:rPr/>
        <w:t>≤</w:t>
      </w:r>
      <w:bookmarkStart w:id="139" w:name="MathJax-Span-59"/>
      <w:bookmarkEnd w:id="139"/>
      <w:r>
        <w:rPr/>
        <w:t> </w:t>
      </w:r>
      <w:bookmarkStart w:id="140" w:name="MathJax-Span-60"/>
      <w:bookmarkEnd w:id="140"/>
      <w:r>
        <w:rPr>
          <w:rFonts w:ascii="MathJax Math" w:hAnsi="MathJax Math"/>
          <w:i/>
        </w:rPr>
        <w:t>X</w:t>
      </w:r>
      <w:bookmarkStart w:id="141" w:name="MathJax-Span-611"/>
      <w:bookmarkEnd w:id="141"/>
      <w:r>
        <w:rPr/>
        <w:t> </w:t>
      </w:r>
      <w:bookmarkStart w:id="142" w:name="MathJax-Span-621"/>
      <w:bookmarkEnd w:id="142"/>
      <w:r>
        <w:rPr/>
        <w:t>≤</w:t>
      </w:r>
      <w:bookmarkStart w:id="143" w:name="MathJax-Span-63"/>
      <w:bookmarkEnd w:id="143"/>
      <w:r>
        <w:rPr/>
        <w:t> </w:t>
      </w:r>
      <w:bookmarkStart w:id="144" w:name="MathJax-Span-64"/>
      <w:bookmarkEnd w:id="144"/>
      <w:r>
        <w:rPr>
          <w:rFonts w:ascii="MathJax Math" w:hAnsi="MathJax Math"/>
          <w:i/>
        </w:rPr>
        <w:t>Y</w:t>
      </w:r>
      <w:bookmarkStart w:id="145" w:name="MathJax-Span-65"/>
      <w:bookmarkEnd w:id="145"/>
      <w:r>
        <w:rPr/>
        <w:t> </w:t>
      </w:r>
      <w:bookmarkStart w:id="146" w:name="MathJax-Span-66"/>
      <w:bookmarkEnd w:id="146"/>
      <w:r>
        <w:rPr/>
        <w:t>≤</w:t>
      </w:r>
      <w:bookmarkStart w:id="147" w:name="MathJax-Span-67"/>
      <w:bookmarkEnd w:id="147"/>
      <w:r>
        <w:rPr/>
        <w:t> </w:t>
      </w:r>
      <w:bookmarkStart w:id="148" w:name="MathJax-Span-68"/>
      <w:bookmarkEnd w:id="148"/>
      <w:r>
        <w:rPr>
          <w:rFonts w:ascii="MathJax Math" w:hAnsi="MathJax Math"/>
          <w:i/>
        </w:rPr>
        <w:t>Z</w:t>
      </w:r>
      <w:r>
        <w:rPr/>
        <w:t xml:space="preserve">). </w:t>
      </w:r>
      <w:r>
        <w:rPr>
          <w:i w:val="false"/>
          <w:iCs w:val="false"/>
        </w:rPr>
        <w:t xml:space="preserve"> 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MathJax Math">
    <w:charset w:val="cc"/>
    <w:family w:val="auto"/>
    <w:pitch w:val="default"/>
  </w:font>
  <w:font w:name="MathJax Main"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1e5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Hyperlink"/>
    <w:rPr>
      <w:color w:val="000080"/>
      <w:u w:val="single"/>
      <w:lang w:val="zxx" w:eastAsia="zxx" w:bidi="zxx"/>
    </w:rPr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41e33"/>
    <w:pPr>
      <w:spacing w:before="0" w:after="20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gi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Application>LibreOffice/7.4.0.3$Windows_X86_64 LibreOffice_project/f85e47c08ddd19c015c0114a68350214f7066f5a</Application>
  <AppVersion>15.0000</AppVersion>
  <Pages>1</Pages>
  <Words>200</Words>
  <Characters>1098</Characters>
  <CharactersWithSpaces>1295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2020-11-26T05:42:00Z</dcterms:created>
  <dc:creator>Olenchtu@mail.ru</dc:creator>
  <dc:description/>
  <dc:language>ru-RU</dc:language>
  <cp:lastModifiedBy/>
  <dcterms:modified xsi:type="dcterms:W3CDTF">2022-08-24T21:23:11Z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