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5"/>
        <w:numPr>
          <w:ilvl w:val="4"/>
          <w:numId w:val="2"/>
        </w:numPr>
        <w:bidi w:val="0"/>
        <w:spacing w:lineRule="auto" w:line="240" w:before="0" w:after="0"/>
        <w:ind w:left="0" w:right="0" w:firstLine="397"/>
        <w:jc w:val="left"/>
        <w:rPr>
          <w:lang w:val="ru-RU"/>
        </w:rPr>
      </w:pPr>
      <w:r>
        <w:rPr>
          <w:lang w:val="ru-RU"/>
        </w:rPr>
        <w:t xml:space="preserve">ЭТАП </w:t>
      </w:r>
      <w:r>
        <w:rPr>
          <w:rFonts w:ascii="serif" w:hAnsi="serif"/>
          <w:sz w:val="30"/>
        </w:rPr>
        <w:t>Формализация задачи</w:t>
      </w:r>
      <w:r>
        <w:rPr/>
        <w:t xml:space="preserve"> </w:t>
      </w:r>
    </w:p>
    <w:p>
      <w:pPr>
        <w:pStyle w:val="5"/>
        <w:numPr>
          <w:ilvl w:val="4"/>
          <w:numId w:val="2"/>
        </w:numPr>
        <w:bidi w:val="0"/>
        <w:spacing w:lineRule="auto" w:line="240" w:before="0" w:after="0"/>
        <w:ind w:left="0" w:right="0" w:firstLine="397"/>
        <w:jc w:val="left"/>
        <w:rPr>
          <w:b/>
          <w:b/>
          <w:bCs/>
        </w:rPr>
      </w:pPr>
      <w:r>
        <w:rPr>
          <w:b/>
          <w:bCs/>
          <w:lang w:val="ru-RU"/>
        </w:rPr>
        <w:t>Задание</w:t>
      </w:r>
    </w:p>
    <w:p>
      <w:pPr>
        <w:pStyle w:val="Style16"/>
        <w:rPr>
          <w:b/>
          <w:b/>
          <w:bCs/>
        </w:rPr>
      </w:pPr>
      <w:r>
        <w:rPr/>
        <w:t>Выполнить формализацию задачи и подготовить соответствующий раздел пояснительной записки к курсовой работе. Формализация задачи должна включать в себя хотя бы один из следующий пунктов:</w:t>
        <w:br/>
        <w:t>– описание основных сущностей, используемых в программной реализации (глобальных переменных и структур данных);</w:t>
        <w:br/>
        <w:t>– описание математической модели (представление состояния игры в цифровом виде, формулы, выигрышная стратегия компьютера).</w:t>
        <w:br/>
      </w:r>
      <w:r>
        <w:rPr>
          <w:b/>
        </w:rPr>
        <w:t>Каждой сущности (простой переменной или массиву) должно быть дано какое-то имя (идентификатор языка Си), чтобы на нее можно ссылаться в схемах алгоритмов на следующем этапе</w:t>
      </w:r>
      <w:r>
        <w:rPr/>
        <w:t>.</w:t>
        <w:br/>
        <w:t>Типовые замечания:</w:t>
        <w:br/>
        <w:t>1. приводится определение структуры "struct abc { int x; ...}" - это будет необходимо на этапе реализации, сейчас этап формализации</w:t>
        <w:br/>
        <w:t>2. указывается конкретный тип переменной или поля структуры (int, double, char[101] или string и т.д.) - снова реализация, сейчас достаточно указать тип в общем и допустимый диапазон (если есть ограничения в предметной области), например, целое число от 1 до 5, вещественное число, строка из 100 символов</w:t>
        <w:br/>
        <w:t>3. есть имена полей структуры, но нет описания их назначения - возможно преподаватель догадается, что v - это скорость, но нужно написать это явно.</w:t>
        <w:br/>
        <w:t>4. путаница понятий имя сущности (Abc a1;) и имя структуры (struct Abc {...}) - объявление структуры не выделяет память, в нём описываются поля, а не переменные.</w:t>
        <w:br/>
        <w:t xml:space="preserve">5. функции - это не сущности </w:t>
      </w:r>
    </w:p>
    <w:p>
      <w:pPr>
        <w:pStyle w:val="5"/>
        <w:rPr>
          <w:b/>
          <w:b/>
          <w:bCs/>
        </w:rPr>
      </w:pPr>
      <w:r>
        <w:rPr/>
        <w:t>Оформление</w:t>
      </w:r>
    </w:p>
    <w:p>
      <w:pPr>
        <w:pStyle w:val="Style16"/>
        <w:rPr>
          <w:b/>
          <w:b/>
          <w:bCs/>
        </w:rPr>
      </w:pPr>
      <w:r>
        <w:rPr/>
        <w:t xml:space="preserve">При подготовке текста необходимо руководствоваться правилами оформления, которые приведены в </w:t>
      </w:r>
      <w:hyperlink r:id="rId2">
        <w:r>
          <w:rPr/>
          <w:t>методических указаниях</w:t>
        </w:r>
      </w:hyperlink>
      <w:r>
        <w:rPr/>
        <w:t xml:space="preserve"> по выполнению курсовой работы.</w:t>
      </w:r>
    </w:p>
    <w:p>
      <w:pPr>
        <w:pStyle w:val="Standard"/>
        <w:ind w:firstLine="3288"/>
        <w:rPr>
          <w:rFonts w:cs="Times New Roman"/>
          <w:i/>
          <w:i/>
          <w:iCs/>
          <w:szCs w:val="28"/>
        </w:rPr>
      </w:pPr>
      <w:r>
        <w:rPr>
          <w:rFonts w:cs="Times New Roman"/>
          <w:i/>
          <w:iCs/>
          <w:szCs w:val="28"/>
        </w:rPr>
        <w:t>Алгоритмы + структуры данных = программы.</w:t>
      </w:r>
    </w:p>
    <w:p>
      <w:pPr>
        <w:pStyle w:val="Standard"/>
        <w:ind w:right="510" w:firstLine="3288"/>
        <w:jc w:val="right"/>
        <w:rPr>
          <w:rFonts w:cs="Times New Roman"/>
          <w:i/>
          <w:i/>
          <w:iCs/>
          <w:szCs w:val="28"/>
        </w:rPr>
      </w:pPr>
      <w:r>
        <w:rPr>
          <w:rFonts w:cs="Times New Roman"/>
          <w:i/>
          <w:iCs/>
          <w:szCs w:val="28"/>
        </w:rPr>
        <w:tab/>
        <w:tab/>
        <w:tab/>
        <w:tab/>
        <w:t>Н. Вирт</w:t>
      </w:r>
    </w:p>
    <w:p>
      <w:pPr>
        <w:pStyle w:val="Standard"/>
        <w:rPr/>
      </w:pPr>
      <w:r>
        <w:rPr>
          <w:rFonts w:cs="Times New Roman"/>
          <w:szCs w:val="28"/>
        </w:rPr>
        <w:t xml:space="preserve">Прежде чем выполнять какой-то алгоритм, нужно иметь объекты, к которым применяются эти операции. Поэтому объектно-ориентированный подход требует на этом этапе выявить сущности (объекты) в предметной области и определить их свойства. С другой стороны, алгоритмы могут требовать данные определенной структуры (например, хранение данных в дереве для быстрого поиска вместо списка). Также на этом этапе </w:t>
      </w:r>
      <w:r>
        <w:rPr/>
        <w:t xml:space="preserve">строится математическая модель </w:t>
      </w:r>
      <w:r>
        <w:rPr>
          <w:rFonts w:cs="Times New Roman"/>
          <w:szCs w:val="28"/>
        </w:rPr>
        <w:t>–</w:t>
      </w:r>
      <w:r>
        <w:rPr/>
        <w:t xml:space="preserve"> система математических соотношений (формул, уравнений, неравенств), отражающих существенные связи между объектами или явлениями, например, связь между ячейками матрицы и её представлением на экране или выигрышная стратегия компьютера.</w:t>
      </w:r>
    </w:p>
    <w:p>
      <w:pPr>
        <w:pStyle w:val="Standard"/>
        <w:rPr>
          <w:rFonts w:cs="Times New Roman"/>
          <w:szCs w:val="28"/>
        </w:rPr>
      </w:pPr>
      <w:r>
        <w:rPr>
          <w:rFonts w:cs="Times New Roman"/>
          <w:szCs w:val="28"/>
        </w:rPr>
        <w:t>Для простых программ достаточно базовых типов данных (целых и вещественных чисел), одномерных и двумерных массивов, структур и массивов структур. Основные сущности предметной области следует представлять глобальными переменными, структурами и массивами. Явным образом передавать такие сущности через аргументы нужно только в том случае, если функция может применяться к нескольким похожим объектам. Временные сущности, необходимые только на время выполнения некоторого действия, определяются как локальные переменные и массивы внутри функции. Если  их необходимо использовать в других функциях, то они передаются  через аргументы (по значению или через указатель).</w:t>
      </w:r>
    </w:p>
    <w:p>
      <w:pPr>
        <w:pStyle w:val="Standard"/>
        <w:rPr>
          <w:b/>
          <w:b/>
          <w:bCs/>
        </w:rPr>
      </w:pPr>
      <w:r>
        <w:rPr>
          <w:color w:val="000000"/>
          <w:szCs w:val="28"/>
        </w:rPr>
        <w:t>Каждой сущности нужно задать идентификатор, чтобы ссылаться на эти сущности в алгоритмах. Пример описания основных сущностей для графического редактора:</w:t>
      </w:r>
    </w:p>
    <w:p>
      <w:pPr>
        <w:pStyle w:val="Standard"/>
        <w:rPr>
          <w:b/>
          <w:b/>
          <w:bCs/>
        </w:rPr>
      </w:pPr>
      <w:r>
        <w:rPr/>
      </w:r>
    </w:p>
    <w:p>
      <w:pPr>
        <w:pStyle w:val="Standard"/>
        <w:rPr/>
      </w:pPr>
      <w:r>
        <w:rPr/>
        <w:t>Основные сущности в программе:</w:t>
      </w:r>
    </w:p>
    <w:p>
      <w:pPr>
        <w:pStyle w:val="Standard"/>
        <w:numPr>
          <w:ilvl w:val="0"/>
          <w:numId w:val="3"/>
        </w:numPr>
        <w:rPr/>
      </w:pPr>
      <w:r>
        <w:rPr/>
        <w:t xml:space="preserve">выбранный инструмент </w:t>
      </w:r>
      <w:r>
        <w:rPr>
          <w:lang w:val="en-US"/>
        </w:rPr>
        <w:t>tool</w:t>
      </w:r>
      <w:r>
        <w:rPr/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4361180</wp:posOffset>
            </wp:positionH>
            <wp:positionV relativeFrom="paragraph">
              <wp:posOffset>54610</wp:posOffset>
            </wp:positionV>
            <wp:extent cx="1514475" cy="1927225"/>
            <wp:effectExtent l="0" t="0" r="0" b="0"/>
            <wp:wrapSquare wrapText="left"/>
            <wp:docPr id="1" name="Изображение2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25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92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 xml:space="preserve"> — целое число от 2 до 5;</w:t>
      </w:r>
    </w:p>
    <w:p>
      <w:pPr>
        <w:pStyle w:val="Standard"/>
        <w:numPr>
          <w:ilvl w:val="0"/>
          <w:numId w:val="3"/>
        </w:numPr>
        <w:rPr/>
      </w:pPr>
      <w:r>
        <w:rPr/>
        <w:t xml:space="preserve">имя редактируемого файла </w:t>
      </w:r>
      <w:r>
        <w:rPr>
          <w:lang w:val="en-US"/>
        </w:rPr>
        <w:t>pic</w:t>
      </w:r>
      <w:r>
        <w:rPr/>
        <w:t>_</w:t>
      </w:r>
      <w:r>
        <w:rPr>
          <w:lang w:val="en-US"/>
        </w:rPr>
        <w:t>name</w:t>
      </w:r>
      <w:r>
        <w:rPr/>
        <w:t xml:space="preserve"> — строка из 100 символов;</w:t>
      </w:r>
    </w:p>
    <w:p>
      <w:pPr>
        <w:pStyle w:val="Standard"/>
        <w:numPr>
          <w:ilvl w:val="0"/>
          <w:numId w:val="3"/>
        </w:numPr>
        <w:rPr/>
      </w:pPr>
      <w:r>
        <w:rPr/>
        <w:t xml:space="preserve">текущий цвет </w:t>
      </w:r>
      <w:r>
        <w:rPr>
          <w:lang w:val="en-US"/>
        </w:rPr>
        <w:t>f</w:t>
      </w:r>
      <w:r>
        <w:rPr/>
        <w:t>_</w:t>
      </w:r>
      <w:r>
        <w:rPr>
          <w:lang w:val="en-US"/>
        </w:rPr>
        <w:t>color</w:t>
      </w:r>
      <w:r>
        <w:rPr/>
        <w:t xml:space="preserve"> - целое число от 0 до 15;</w:t>
      </w:r>
    </w:p>
    <w:p>
      <w:pPr>
        <w:pStyle w:val="Standard"/>
        <w:numPr>
          <w:ilvl w:val="0"/>
          <w:numId w:val="3"/>
        </w:numPr>
        <w:rPr/>
      </w:pPr>
      <w:r>
        <w:rPr/>
        <w:t xml:space="preserve">цвет заливки </w:t>
      </w:r>
      <w:r>
        <w:rPr>
          <w:lang w:val="en-US"/>
        </w:rPr>
        <w:t>b</w:t>
      </w:r>
      <w:r>
        <w:rPr/>
        <w:t>_</w:t>
      </w:r>
      <w:r>
        <w:rPr>
          <w:lang w:val="en-US"/>
        </w:rPr>
        <w:t>color</w:t>
      </w:r>
      <w:r>
        <w:rPr/>
        <w:t xml:space="preserve"> - целое число от 0 до 15;</w:t>
      </w:r>
    </w:p>
    <w:p>
      <w:pPr>
        <w:pStyle w:val="Standard"/>
        <w:numPr>
          <w:ilvl w:val="0"/>
          <w:numId w:val="3"/>
        </w:numPr>
        <w:rPr/>
      </w:pPr>
      <w:r>
        <w:rPr/>
        <w:t xml:space="preserve">массив из кнопок для инструментов </w:t>
      </w:r>
      <w:r>
        <w:rPr>
          <w:lang w:val="en-US"/>
        </w:rPr>
        <w:t>buttons</w:t>
      </w:r>
      <w:r>
        <w:rPr/>
        <w:t>, каждая кнопка является  структурой, содержащая координаты верхнего угла, размеры, имя файла с иконкой, загруженное изображение;</w:t>
      </w:r>
    </w:p>
    <w:p>
      <w:pPr>
        <w:pStyle w:val="Standard"/>
        <w:numPr>
          <w:ilvl w:val="0"/>
          <w:numId w:val="3"/>
        </w:numPr>
        <w:rPr/>
      </w:pPr>
      <w:r>
        <w:rPr/>
        <w:t xml:space="preserve">строка статуса </w:t>
      </w:r>
      <w:r>
        <w:rPr>
          <w:lang w:val="en-US"/>
        </w:rPr>
        <w:t>status</w:t>
      </w:r>
      <w:r>
        <w:rPr/>
        <w:t xml:space="preserve"> — строка из 100 символов.</w:t>
      </w:r>
    </w:p>
    <w:p>
      <w:pPr>
        <w:pStyle w:val="Standard"/>
        <w:ind w:firstLine="340"/>
        <w:rPr/>
      </w:pPr>
      <w:r>
        <w:rPr/>
        <w:t>Координаты кнопок выбора цветов можно вычислить по номеру цвета (рисунок 2):</w:t>
      </w:r>
    </w:p>
    <w:p>
      <w:pPr>
        <w:pStyle w:val="Standard"/>
        <w:ind w:firstLine="340"/>
        <w:rPr>
          <w:lang w:val="en-US"/>
        </w:rPr>
      </w:pPr>
      <w:r>
        <w:pict>
          <v:group id="shape_0" style="position:absolute;margin-left:343.4pt;margin-top:13.75pt;width:126.85pt;height:36.9pt" coordorigin="6868,275" coordsize="2537,738">
            <v:shape id="shape_0" ID="Фигура1" coordsize="4478,1305" path="m0,0l4477,0l4477,1304l0,1304l0,0e" fillcolor="white" stroked="t" o:allowincell="f" style="position:absolute;left:6868;top:275;width:2537;height:738;mso-wrap-style:none;v-text-anchor:middle">
              <v:fill o:detectmouseclick="t" type="solid" color2="black"/>
              <v:stroke color="white" weight="12600" joinstyle="miter" endcap="flat"/>
              <v:textbox>
                <w:txbxContent>
                  <w:p>
                    <w:pPr>
                      <w:pStyle w:val="Style21"/>
                      <w:jc w:val="center"/>
                      <w:rPr/>
                    </w:pPr>
                    <w:r>
                      <w:rPr>
                        <w:rFonts w:ascii="Times New Roman" w:hAnsi="Times New Roman"/>
                      </w:rPr>
                      <w:t>Рисунок 2 — Кнопки</w:t>
                    </w:r>
                  </w:p>
                  <w:p>
                    <w:pPr>
                      <w:pStyle w:val="Style21"/>
                      <w:jc w:val="center"/>
                      <w:rPr/>
                    </w:pPr>
                    <w:r>
                      <w:rPr>
                        <w:rFonts w:ascii="Times New Roman" w:hAnsi="Times New Roman"/>
                      </w:rPr>
                      <w:t>выбора цветов</w:t>
                    </w:r>
                  </w:p>
                </w:txbxContent>
              </v:textbox>
              <w10:wrap type="square"/>
            </v:shape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left:6868;top:275;width:2537;height:738;mso-wrap-style:square;v-text-anchor:middle-center;rotation:360" type="_x0000_t202">
              <v:fill o:detectmouseclick="t" on="false"/>
              <v:textbox>
                <w:txbxContent>
                  <w:p>
                    <w:pPr>
                      <w:pStyle w:val="Style21"/>
                      <w:jc w:val="center"/>
                      <w:rPr/>
                    </w:pPr>
                    <w:r>
                      <w:rPr>
                        <w:rFonts w:ascii="Times New Roman" w:hAnsi="Times New Roman"/>
                      </w:rPr>
                      <w:t>Рисунок 2 — Кнопки</w:t>
                    </w:r>
                  </w:p>
                  <w:p>
                    <w:pPr>
                      <w:pStyle w:val="Style21"/>
                      <w:jc w:val="center"/>
                      <w:rPr/>
                    </w:pPr>
                    <w:r>
                      <w:rPr>
                        <w:rFonts w:ascii="Times New Roman" w:hAnsi="Times New Roman"/>
                      </w:rPr>
                      <w:t>выбора цветов</w:t>
                    </w:r>
                  </w:p>
                </w:txbxContent>
              </v:textbox>
              <w10:wrap type="square"/>
            </v:shape>
          </v:group>
        </w:pict>
      </w:r>
      <w:r>
        <w:rPr>
          <w:lang w:val="en-US"/>
        </w:rPr>
        <w:t>x</w:t>
      </w:r>
      <w:r>
        <w:rPr>
          <w:vertAlign w:val="subscript"/>
          <w:lang w:val="en-US"/>
        </w:rPr>
        <w:t>1</w:t>
      </w:r>
      <w:r>
        <w:rPr>
          <w:lang w:val="en-US"/>
        </w:rPr>
        <w:t xml:space="preserve">=10 + </w:t>
      </w:r>
      <w:r>
        <w:rPr>
          <w:rFonts w:eastAsia="Symbol" w:cs="Symbol" w:ascii="Symbol" w:hAnsi="Symbol"/>
        </w:rPr>
        <w:t></w:t>
      </w:r>
      <w:r>
        <w:rPr>
          <w:lang w:val="en-US"/>
        </w:rPr>
        <w:t>i/8</w:t>
      </w:r>
      <w:r>
        <w:rPr>
          <w:rFonts w:eastAsia="Symbol" w:cs="Symbol" w:ascii="Symbol" w:hAnsi="Symbol"/>
        </w:rPr>
        <w:t></w:t>
      </w:r>
      <w:r>
        <w:rPr>
          <w:rFonts w:eastAsia="Times New Roman" w:cs="Times New Roman"/>
          <w:lang w:val="en-US"/>
        </w:rPr>
        <w:t>∙35</w:t>
      </w:r>
    </w:p>
    <w:p>
      <w:pPr>
        <w:pStyle w:val="Standard"/>
        <w:ind w:firstLine="340"/>
        <w:rPr>
          <w:lang w:val="en-US"/>
        </w:rPr>
      </w:pPr>
      <w:r>
        <w:rPr>
          <w:lang w:val="en-US"/>
        </w:rPr>
        <w:t>y</w:t>
      </w:r>
      <w:r>
        <w:rPr>
          <w:vertAlign w:val="subscript"/>
          <w:lang w:val="en-US"/>
        </w:rPr>
        <w:t>1</w:t>
      </w:r>
      <w:r>
        <w:rPr>
          <w:lang w:val="en-US"/>
        </w:rPr>
        <w:t>=100 + (i mod 8)</w:t>
      </w:r>
      <w:r>
        <w:rPr>
          <w:rFonts w:eastAsia="Times New Roman" w:cs="Times New Roman"/>
          <w:lang w:val="en-US"/>
        </w:rPr>
        <w:t>∙35</w:t>
      </w:r>
    </w:p>
    <w:p>
      <w:pPr>
        <w:pStyle w:val="Standard"/>
        <w:ind w:firstLine="340"/>
        <w:rPr>
          <w:lang w:val="en-US"/>
        </w:rPr>
      </w:pPr>
      <w:r>
        <w:rPr>
          <w:lang w:val="en-US"/>
        </w:rPr>
        <w:t>x</w:t>
      </w:r>
      <w:r>
        <w:rPr>
          <w:vertAlign w:val="subscript"/>
          <w:lang w:val="en-US"/>
        </w:rPr>
        <w:t>2</w:t>
      </w:r>
      <w:r>
        <w:rPr>
          <w:lang w:val="en-US"/>
        </w:rPr>
        <w:t>=x</w:t>
      </w:r>
      <w:r>
        <w:rPr>
          <w:vertAlign w:val="subscript"/>
          <w:lang w:val="en-US"/>
        </w:rPr>
        <w:t>1</w:t>
      </w:r>
      <w:r>
        <w:rPr>
          <w:lang w:val="en-US"/>
        </w:rPr>
        <w:t>+31</w:t>
      </w:r>
    </w:p>
    <w:p>
      <w:pPr>
        <w:pStyle w:val="Standard"/>
        <w:ind w:firstLine="340"/>
        <w:rPr>
          <w:lang w:val="en-US"/>
        </w:rPr>
      </w:pPr>
      <w:r>
        <w:rPr>
          <w:lang w:val="en-US"/>
        </w:rPr>
        <w:t>y</w:t>
      </w:r>
      <w:r>
        <w:rPr>
          <w:vertAlign w:val="subscript"/>
          <w:lang w:val="en-US"/>
        </w:rPr>
        <w:t>2</w:t>
      </w:r>
      <w:r>
        <w:rPr>
          <w:lang w:val="en-US"/>
        </w:rPr>
        <w:t>=y</w:t>
      </w:r>
      <w:r>
        <w:rPr>
          <w:vertAlign w:val="subscript"/>
          <w:lang w:val="en-US"/>
        </w:rPr>
        <w:t>1</w:t>
      </w:r>
      <w:r>
        <w:rPr>
          <w:lang w:val="en-US"/>
        </w:rPr>
        <w:t>+31</w:t>
      </w:r>
    </w:p>
    <w:p>
      <w:pPr>
        <w:pStyle w:val="Standard"/>
        <w:ind w:firstLine="340"/>
        <w:rPr/>
      </w:pPr>
      <w:r>
        <w:rPr>
          <w:color w:val="000000"/>
          <w:szCs w:val="28"/>
        </w:rPr>
        <w:t>Поэтому рисование этих кнопок и проверку нажатия можно проводить без определения вспомогательных структур данных.</w:t>
      </w:r>
    </w:p>
    <w:p>
      <w:pPr>
        <w:pStyle w:val="Style16"/>
        <w:rPr>
          <w:b/>
          <w:b/>
          <w:bCs/>
        </w:rPr>
      </w:pPr>
      <w:r>
        <w:rPr/>
      </w:r>
    </w:p>
    <w:p>
      <w:pPr>
        <w:pStyle w:val="5"/>
        <w:rPr>
          <w:b/>
          <w:b/>
          <w:bCs/>
        </w:rPr>
      </w:pPr>
      <w:bookmarkStart w:id="0" w:name="yui_3_17_2_1_1661764073095_37"/>
      <w:bookmarkEnd w:id="0"/>
      <w:r>
        <w:rPr/>
        <w:t>Критерии оценки</w:t>
      </w:r>
    </w:p>
    <w:p>
      <w:pPr>
        <w:pStyle w:val="Style16"/>
        <w:rPr>
          <w:b/>
          <w:b/>
          <w:bCs/>
        </w:rPr>
      </w:pPr>
      <w:bookmarkStart w:id="1" w:name="yui_3_17_2_1_1661764073095_36"/>
      <w:bookmarkEnd w:id="1"/>
      <w:r>
        <w:rPr/>
        <w:t>Общий балл за этап складывается из следующих показателей:</w:t>
        <w:br/>
        <w:t>– описаны основные сущности и/или математическая модель – 7 баллов, оценка снижается на 1 балл за каждую ошибку/замечание;</w:t>
        <w:br/>
        <w:t>– задание выполнено вовремя – 3 балла.</w:t>
      </w:r>
    </w:p>
    <w:p>
      <w:pPr>
        <w:pStyle w:val="Style16"/>
        <w:bidi w:val="0"/>
        <w:spacing w:lineRule="auto" w:line="240" w:before="0" w:after="0"/>
        <w:ind w:left="0" w:right="0" w:firstLine="397"/>
        <w:jc w:val="left"/>
        <w:rPr>
          <w:b/>
          <w:b/>
          <w:bCs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OpenSymbol">
    <w:altName w:val="Arial Unicode MS"/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serif">
    <w:charset w:val="cc"/>
    <w:family w:val="roman"/>
    <w:pitch w:val="variable"/>
  </w:font>
  <w:font w:name="Symbol">
    <w:charset w:val="cc"/>
    <w:family w:val="roman"/>
    <w:pitch w:val="variable"/>
  </w:font>
  <w:font w:name="Symbol">
    <w:charset w:val="02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◦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2">
      <w:start w:val="0"/>
      <w:numFmt w:val="bullet"/>
      <w:lvlText w:val="▪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◦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5">
      <w:start w:val="0"/>
      <w:numFmt w:val="bullet"/>
      <w:lvlText w:val="▪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◦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8">
      <w:start w:val="0"/>
      <w:numFmt w:val="bullet"/>
      <w:lvlText w:val="▪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2">
    <w:name w:val="Heading 2"/>
    <w:basedOn w:val="Style15"/>
    <w:next w:val="Style16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4">
    <w:name w:val="Heading 4"/>
    <w:basedOn w:val="Style15"/>
    <w:next w:val="Style16"/>
    <w:qFormat/>
    <w:pPr>
      <w:numPr>
        <w:ilvl w:val="3"/>
        <w:numId w:val="1"/>
      </w:numPr>
      <w:spacing w:before="120" w:after="120"/>
      <w:outlineLvl w:val="3"/>
    </w:pPr>
    <w:rPr>
      <w:rFonts w:ascii="Liberation Serif" w:hAnsi="Liberation Serif" w:eastAsia="NSimSun" w:cs="Lucida Sans"/>
      <w:b/>
      <w:bCs/>
      <w:sz w:val="24"/>
      <w:szCs w:val="24"/>
    </w:rPr>
  </w:style>
  <w:style w:type="paragraph" w:styleId="5">
    <w:name w:val="Heading 5"/>
    <w:basedOn w:val="Style15"/>
    <w:next w:val="Style16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character" w:styleId="Style11">
    <w:name w:val="Emphasis"/>
    <w:qFormat/>
    <w:rPr>
      <w:i/>
      <w:iCs/>
    </w:rPr>
  </w:style>
  <w:style w:type="character" w:styleId="Style12">
    <w:name w:val="Маркеры"/>
    <w:qFormat/>
    <w:rPr>
      <w:rFonts w:ascii="OpenSymbol" w:hAnsi="OpenSymbol" w:eastAsia="OpenSymbol" w:cs="OpenSymbol"/>
    </w:rPr>
  </w:style>
  <w:style w:type="character" w:styleId="Style13">
    <w:name w:val="Hyperlink"/>
    <w:rPr>
      <w:color w:val="000080"/>
      <w:u w:val="single"/>
      <w:lang w:val="zxx" w:eastAsia="zxx" w:bidi="zxx"/>
    </w:rPr>
  </w:style>
  <w:style w:type="character" w:styleId="Style14">
    <w:name w:val="Непропорциональный текст"/>
    <w:qFormat/>
    <w:rPr>
      <w:rFonts w:ascii="Liberation Mono" w:hAnsi="Liberation Mono" w:eastAsia="NSimSun" w:cs="Liberation Mono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Style20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ind w:firstLine="397"/>
      <w:jc w:val="both"/>
      <w:textAlignment w:val="baseline"/>
    </w:pPr>
    <w:rPr>
      <w:rFonts w:ascii="Times New Roman" w:hAnsi="Times New Roman" w:eastAsia="NSimSun" w:cs="Mangal"/>
      <w:color w:val="auto"/>
      <w:kern w:val="2"/>
      <w:sz w:val="24"/>
      <w:szCs w:val="24"/>
      <w:lang w:eastAsia="zh-CN" w:bidi="hi-IN" w:val="ru-RU"/>
    </w:rPr>
  </w:style>
  <w:style w:type="paragraph" w:styleId="Style21">
    <w:name w:val="Содержимое врезки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_blank" TargetMode="External"/><Relationship Id="rId3" Type="http://schemas.openxmlformats.org/officeDocument/2006/relationships/image" Target="media/image1.pn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216</TotalTime>
  <Application>LibreOffice/7.4.0.3$Windows_X86_64 LibreOffice_project/f85e47c08ddd19c015c0114a68350214f7066f5a</Application>
  <AppVersion>15.0000</AppVersion>
  <Pages>2</Pages>
  <Words>562</Words>
  <Characters>3527</Characters>
  <CharactersWithSpaces>4073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2022-01-11T12:35:27Z</dcterms:created>
  <dc:creator/>
  <dc:description/>
  <dc:language>ru-RU</dc:language>
  <cp:lastModifiedBy/>
  <dcterms:modified xsi:type="dcterms:W3CDTF">2022-08-29T16:14:37Z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